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Temat pracy:</w:t>
      </w:r>
    </w:p>
    <w:p>
      <w:r>
        <w:t>Prawne regulacje przerwania ciąży w wybranych krajach Unii Europejskiej na przykładzie Malty, Niemiec i Holandii</w:t>
      </w:r>
    </w:p>
    <w:p>
      <w:r>
        <w:t>Data opracowania: 24.12.2025</w:t>
      </w:r>
    </w:p>
    <w:p>
      <w:r>
        <w:br w:type="page"/>
      </w:r>
    </w:p>
    <w:p>
      <w:pPr>
        <w:pStyle w:val="Heading1"/>
      </w:pPr>
      <w:r>
        <w:t>Wstęp</w:t>
      </w:r>
    </w:p>
    <w:p>
      <w:r>
        <w:t>Problematyka prawnej dopuszczalności przerwania ciąży pozostaje jednym z najbardziej spornych zagadnień współczesnego prawa publicznego i prawa medycznego. Spór ten ma charakter wielowymiarowy: dotyczy zarówno aksjologii konstytucyjnej (ochrona życia, godność człowieka), jak i praw jednostki (autonomia, prywatność), a zarazem funkcjonuje w praktycznym kontekście świadczeń zdrowotnych. Na tym tle państwa członkowskie Unii Europejskiej przyjęły modele regulacyjne o wyraźnie odmiennej intensywności ochrony życia prenatalnego oraz odmiennym rozumieniu roli państwa w podejmowaniu decyzji prokreacyjnych.</w:t>
      </w:r>
      <w:r>
        <w:t xml:space="preserve"> </w:t>
      </w:r>
      <w:r>
        <w:rPr>
          <w:vertAlign w:val="superscript"/>
        </w:rPr>
        <w:t>6</w:t>
      </w:r>
    </w:p>
    <w:p>
      <w:r>
        <w:t>Celem niniejszej pracy (w części obejmującej wstęp oraz dwa pierwsze rozdziały) jest rekonstrukcja i analiza prawnych regulacji przerwania ciąży w trzech jurysdykcjach: na Malcie, w Niemczech oraz w Holandii, z uwzględnieniem genezy historycznej tych rozwiązań i ich osadzenia w standardach wynikających z orzecznictwa Europejskiego Trybunału Praw Człowieka (ETPCz). Dobór państw ma charakter celowy: Malta reprezentuje model restrykcyjny (z dominacją zakazu), Niemcy – model kompromisowy, oparty na konstrukcji bezprawności niepodlegającej karze w warunkach spełnienia określonych przesłanek, a Holandia – model liberalny, powiązany z kryterium przeżywalności płodu i rozbudowanymi standardami medycznymi.</w:t>
      </w:r>
      <w:r>
        <w:t xml:space="preserve"> </w:t>
      </w:r>
      <w:r>
        <w:rPr>
          <w:vertAlign w:val="superscript"/>
        </w:rPr>
        <w:t>1</w:t>
      </w:r>
      <w:r>
        <w:t>,</w:t>
      </w:r>
      <w:r>
        <w:rPr>
          <w:vertAlign w:val="superscript"/>
        </w:rPr>
        <w:t>2</w:t>
      </w:r>
      <w:r>
        <w:t>,</w:t>
      </w:r>
      <w:r>
        <w:rPr>
          <w:vertAlign w:val="superscript"/>
        </w:rPr>
        <w:t>7</w:t>
      </w:r>
      <w:r>
        <w:t>,</w:t>
      </w:r>
      <w:r>
        <w:rPr>
          <w:vertAlign w:val="superscript"/>
        </w:rPr>
        <w:t>8</w:t>
      </w:r>
    </w:p>
    <w:p>
      <w:r>
        <w:t>Praca ma charakter dogmatyczno-prawny, z wykorzystaniem metody porównawczej oraz elementów analizy historyczno-prawnej. W zakresie prawa międzynarodowego praw człowieka szczególne znaczenie przypisano standardom proceduralnym wypracowanym w judykaturze ETPCz, które – przy zachowaniu szerokiego marginesu oceny państw – wpływają na ocenę efektywności krajowych mechanizmów ochrony praw pacjentek i realizacji obowiązków państwa w obszarze ochrony zdrowia.</w:t>
      </w:r>
      <w:r>
        <w:t xml:space="preserve"> </w:t>
      </w:r>
      <w:r>
        <w:rPr>
          <w:vertAlign w:val="superscript"/>
        </w:rPr>
        <w:t>4</w:t>
      </w:r>
      <w:r>
        <w:t>,</w:t>
      </w:r>
      <w:r>
        <w:rPr>
          <w:vertAlign w:val="superscript"/>
        </w:rPr>
        <w:t>5</w:t>
      </w:r>
    </w:p>
    <w:p>
      <w:r>
        <w:t>W ramach przyjętej struktury Rozdział I przedstawia pojęcie i rozwój instytucji aborcji oraz czynniki kształtujące ewolucję prawa aborcyjnego w Europie, w tym krótką rekonstrukcję trajektorii zmian na Malcie, w Niemczech i w Holandii, a także rolę procesów integracji europejskiej oraz orzecznictwa strasburskiego. Rozdział II zawiera analizę obowiązujących regulacji prawnych w tych państwach, z podziałem na modele terminowe, przesłankowe i zakazowe, a także z uwzględnieniem znaczenia klauzuli sumienia dla dostępności świadczeń.</w:t>
      </w:r>
    </w:p>
    <w:p>
      <w:pPr>
        <w:pStyle w:val="Heading1"/>
      </w:pPr>
      <w:r>
        <w:t>Rozdział I. Pojęcie i rozwój instytucji aborcji</w:t>
      </w:r>
    </w:p>
    <w:p>
      <w:pPr>
        <w:pStyle w:val="Heading2"/>
      </w:pPr>
      <w:r>
        <w:t>1.1. Społeczno-kulturowe i religijne uwarunkowania ewolucji prawa aborcyjnego w Europie</w:t>
      </w:r>
    </w:p>
    <w:p>
      <w:r>
        <w:t>W europejskiej kulturze prawnej regulacja przerwania ciąży tradycyjnie pozostawała w ścisłym związku z dominującymi w danym społeczeństwie przekonaniami religijnymi i moralnymi, a w wymiarze prawnym – z ewolucją pojęć takich jak „życie ludzkie”, „osoba” czy „godność”. Z jednej strony, silny wpływ tradycji chrześcijańskiej sprzyjał modelom zakazowym oraz penalizacji aborcji jako czynu naruszającego wartość życia. Z drugiej, procesy sekularyzacji, emancypacji kobiet i rozwój praw pacjenta prowadziły do stopniowej depenalizacji bądź wprowadzania wyjątków, uzasadnianych ochroną zdrowia, sytuacją życiową kobiety albo ochroną przed skutkami przestępstwa. Równolegle, rozwój medycyny (diagnostyka prenatalna, pojęcie przeżywalności płodu) dostarczał ustawodawcom nowych punktów odniesienia dla granic dopuszczalności zabiegu.</w:t>
      </w:r>
      <w:r>
        <w:t xml:space="preserve"> </w:t>
      </w:r>
      <w:r>
        <w:rPr>
          <w:vertAlign w:val="superscript"/>
        </w:rPr>
        <w:t>6</w:t>
      </w:r>
    </w:p>
    <w:p>
      <w:r>
        <w:t>Na poziomie europejskiego systemu ochrony praw człowieka ETPCz konsekwentnie wskazuje, że Konwencja nie ustanawia jednolitego modelu dopuszczalności aborcji, a państwa korzystają z szerokiego marginesu oceny w kształtowaniu norm materialnych. Jednocześnie Trybunał rozwinął wymagania proceduralne: jeżeli prawo krajowe dopuszcza aborcję w określonych okolicznościach, mechanizmy ich realizacji muszą być skuteczne, dostępne i zapewniać realną możliwość skorzystania z uprawnienia (m.in. w zakresie rozstrzygania sporów medycznych i terminowości działań).</w:t>
      </w:r>
      <w:r>
        <w:t xml:space="preserve"> </w:t>
      </w:r>
      <w:r>
        <w:rPr>
          <w:vertAlign w:val="superscript"/>
        </w:rPr>
        <w:t>4</w:t>
      </w:r>
      <w:r>
        <w:t>,</w:t>
      </w:r>
      <w:r>
        <w:rPr>
          <w:vertAlign w:val="superscript"/>
        </w:rPr>
        <w:t>5</w:t>
      </w:r>
    </w:p>
    <w:p>
      <w:pPr>
        <w:pStyle w:val="Heading2"/>
      </w:pPr>
      <w:r>
        <w:t>1.2. Od całkowitego zakazu do wąskiego wyjątku: historia prawnej ochrony życia poczętego na Malcie</w:t>
      </w:r>
    </w:p>
    <w:p>
      <w:r>
        <w:t>Malta przez dziesięciolecia należała do najbardziej restrykcyjnych jurysdykcji europejskich w zakresie aborcji. Model maltański opiera się na silnej penalizacji przerwania ciąży, ujmowanej jako przestępstwo przeciwko życiu i zdrowiu, z konsekwencjami zarówno dla kobiety, jak i osoby dokonującej zabiegu. Z perspektywy dogmatycznej istotne jest, że punkt ciężkości regulacji zlokalizowano w prawie karnym, co sprzyja tzw. efektowi mrożącemu w praktyce klinicznej (ryzyko odpowiedzialności przy stanach granicznych).</w:t>
      </w:r>
      <w:r>
        <w:t xml:space="preserve"> </w:t>
      </w:r>
      <w:r>
        <w:rPr>
          <w:vertAlign w:val="superscript"/>
        </w:rPr>
        <w:t>1</w:t>
      </w:r>
    </w:p>
    <w:p>
      <w:r>
        <w:t>W ostatnich latach obserwuje się jednak ostrożną ewolucję w kierunku dopuszczenia wąskiego wyjątku związanego z ochroną życia (a w ujęciu medycznym – również zdrowia) kobiety ciężarnej. Zmiany te należy interpretować nie jako przyjęcie modelu przesłankowego w znaczeniu klasycznym, lecz raczej jako próbę wyważenia aksjologii ochrony życia prenatalnego z obowiązkiem państwa zapewnienia minimalnego bezpieczeństwa medycznego w sytuacjach zagrożenia życia kobiety. W konsekwencji, w prawie maltańskim utrzymuje się dominacja zakazu, a wyjątek ma charakter wyjątkowo wąski i silnie sformalizowany.</w:t>
      </w:r>
      <w:r>
        <w:t xml:space="preserve"> </w:t>
      </w:r>
      <w:r>
        <w:rPr>
          <w:vertAlign w:val="superscript"/>
        </w:rPr>
        <w:t>1</w:t>
      </w:r>
    </w:p>
    <w:p>
      <w:pPr>
        <w:pStyle w:val="Heading2"/>
      </w:pPr>
      <w:r>
        <w:t>1.3. Ewolucja modelu niemieckiego</w:t>
      </w:r>
    </w:p>
    <w:p>
      <w:r>
        <w:t>Niemiecka regulacja przerwania ciąży stanowi przykład modelu kompromisowego, zakorzenionego w konstytucyjnej ochronie życia i godności, a zarazem uwzględniającego sytuację konfliktową kobiety ciężarnej. Kluczowe znaczenie ma orzecznictwo Federalnego Trybunału Konstytucyjnego, które – w ujęciu systemowym – traktuje ochronę życia prenatalnego jako obowiązek państwa (Schutzpflicht), wymagający stworzenia norm i instrumentów realnie chroniących to dobro. Jednocześnie w praktyce ustawodawczej wypracowano rozwiązania, które w określonych warunkach rezygnują z represji karnej, przesuwając akcent na poradnictwo i wsparcie socjalne.</w:t>
      </w:r>
      <w:r>
        <w:t xml:space="preserve"> </w:t>
      </w:r>
      <w:r>
        <w:rPr>
          <w:vertAlign w:val="superscript"/>
        </w:rPr>
        <w:t>3</w:t>
      </w:r>
    </w:p>
    <w:p>
      <w:r>
        <w:t>W ujęciu dogmatycznym istotą niemieckiego modelu jest rozróżnienie pomiędzy bezprawnością czynu a jego karalnością: w typowych przypadkach aborcja pozostaje bezprawna, jednak ustawodawca przewiduje sytuacje, w których nie podlega karze (przede wszystkim przy spełnieniu przesłanek czasowych i proceduralnych związanych z obowiązkowym poradnictwem). Rozwiązanie to odzwierciedla napięcie pomiędzy aksjologią ochrony życia a wolą ograniczenia penalizacji w praktyce.</w:t>
      </w:r>
      <w:r>
        <w:t xml:space="preserve"> </w:t>
      </w:r>
      <w:r>
        <w:rPr>
          <w:vertAlign w:val="superscript"/>
        </w:rPr>
        <w:t>7</w:t>
      </w:r>
      <w:r>
        <w:t>,</w:t>
      </w:r>
      <w:r>
        <w:rPr>
          <w:vertAlign w:val="superscript"/>
        </w:rPr>
        <w:t>8</w:t>
      </w:r>
      <w:r>
        <w:t>,</w:t>
      </w:r>
      <w:r>
        <w:rPr>
          <w:vertAlign w:val="superscript"/>
        </w:rPr>
        <w:t>3</w:t>
      </w:r>
    </w:p>
    <w:p>
      <w:pPr>
        <w:pStyle w:val="Heading2"/>
      </w:pPr>
      <w:r>
        <w:t>1.4. Geneza liberalizacji w Holandii</w:t>
      </w:r>
    </w:p>
    <w:p>
      <w:r>
        <w:t>Holenderski model regulacyjny rozwijał się w odmiennym kontekście kulturowym i politycznym, w którym większy nacisk położono na autonomię jednostki i pragmatykę zdrowia publicznego. Ustawa o przerywaniu ciąży wyznacza granicę dopuszczalności zabiegu w oparciu o kryterium przeżywalności płodu poza organizmem matki (viability), a centralnym elementem jest konstrukcja „należytej staranności” w praktyce lekarskiej. W konsekwencji regulacja holenderska ma charakter w znacznym stopniu medykalizowany: przesłanki i procedury są powiązane z obowiązkami informacyjnymi, kwalifikacją podmiotów wykonujących zabieg oraz zapewnieniem standardów opieki.</w:t>
      </w:r>
      <w:r>
        <w:t xml:space="preserve"> </w:t>
      </w:r>
      <w:r>
        <w:rPr>
          <w:vertAlign w:val="superscript"/>
        </w:rPr>
        <w:t>2</w:t>
      </w:r>
    </w:p>
    <w:p>
      <w:pPr>
        <w:pStyle w:val="Heading2"/>
      </w:pPr>
      <w:r>
        <w:t>1.5. Wpływ procesów integracji europejskiej i orzecznictwa strasburskiego (ETPCz) na zmiany w prawie krajowym</w:t>
      </w:r>
    </w:p>
    <w:p>
      <w:r>
        <w:t>W ramach Unii Europejskiej brak jest pełnej harmonizacji materialnych przesłanek dopuszczalności aborcji, co sprzyja utrzymywaniu się dywergencji standardów pomiędzy państwami członkowskimi. Jednak integracja europejska oddziałuje pośrednio: przez swobody przepływu (w tym realną możliwość korzystania ze świadczeń zdrowotnych w innym państwie), przez standardy ochrony zdrowia oraz przez wzrost znaczenia praw pacjenta i zasad niedyskryminacji. Najbardziej namacalny wpływ na prawo krajowe wywiera jednak orzecznictwo ETPCz, które – nie rozstrzygając „kiedy zaczyna się życie” w sensie konwencyjnym – nakłada na państwa obowiązki zapewnienia spójnych i skutecznych procedur, jeżeli aborcja jest w danym systemie prawnie dopuszczalna.</w:t>
      </w:r>
      <w:r>
        <w:t xml:space="preserve"> </w:t>
      </w:r>
      <w:r>
        <w:rPr>
          <w:vertAlign w:val="superscript"/>
        </w:rPr>
        <w:t>4</w:t>
      </w:r>
      <w:r>
        <w:t>,</w:t>
      </w:r>
      <w:r>
        <w:rPr>
          <w:vertAlign w:val="superscript"/>
        </w:rPr>
        <w:t>5</w:t>
      </w:r>
      <w:r>
        <w:t>,</w:t>
      </w:r>
      <w:r>
        <w:rPr>
          <w:vertAlign w:val="superscript"/>
        </w:rPr>
        <w:t>6</w:t>
      </w:r>
    </w:p>
    <w:p>
      <w:pPr>
        <w:pStyle w:val="Heading1"/>
      </w:pPr>
      <w:r>
        <w:t>Rozdział II. Regulacje prawne aborcji w państwach europejskich</w:t>
      </w:r>
    </w:p>
    <w:p>
      <w:pPr>
        <w:pStyle w:val="Heading2"/>
      </w:pPr>
      <w:r>
        <w:t>2.1. Systematyka modeli regulacyjnych w Unii Europejskiej: rozwiązania terminowe, przesłankowe i zakazowe</w:t>
      </w:r>
    </w:p>
    <w:p>
      <w:r>
        <w:t>Porównanie rozwiązań europejskich pozwala wyodrębnić trzy podstawowe typy modeli regulacyjnych. Po pierwsze, model terminowy dopuszcza aborcję do określonego etapu ciąży (np. do granicy przeżywalności), zwykle przy spełnieniu wymogów proceduralnych i wykonywaniu zabiegu przez uprawniony personel. Po drugie, model przesłankowy uzależnia dopuszczalność aborcji od wystąpienia wskazanych okoliczności (np. medycznych czy kryminologicznych), niezależnie od terminu lub z dodatkowymi ograniczeniami czasowymi. Po trzecie, model zakazowy opiera się na generalnej penalizacji, dopuszczając co najwyżej wąskie wyjątki związane z ratowaniem życia. W praktyce państwa często łączą elementy tych modeli, co widać szczególnie w rozwiązaniu niemieckim (zakaz + szerokie niekaranie w procedurze poradnictwa).</w:t>
      </w:r>
      <w:r>
        <w:t xml:space="preserve"> </w:t>
      </w:r>
      <w:r>
        <w:rPr>
          <w:vertAlign w:val="superscript"/>
        </w:rPr>
        <w:t>1</w:t>
      </w:r>
      <w:r>
        <w:t>,</w:t>
      </w:r>
      <w:r>
        <w:rPr>
          <w:vertAlign w:val="superscript"/>
        </w:rPr>
        <w:t>2</w:t>
      </w:r>
      <w:r>
        <w:t>,</w:t>
      </w:r>
      <w:r>
        <w:rPr>
          <w:vertAlign w:val="superscript"/>
        </w:rPr>
        <w:t>7</w:t>
      </w:r>
      <w:r>
        <w:t>,</w:t>
      </w:r>
      <w:r>
        <w:rPr>
          <w:vertAlign w:val="superscript"/>
        </w:rPr>
        <w:t>8</w:t>
      </w:r>
    </w:p>
    <w:p>
      <w:pPr>
        <w:pStyle w:val="Heading2"/>
      </w:pPr>
      <w:r>
        <w:t>2.2. Malta: analiza przepisów Kodeksu Karnego (art. 241–243) oraz zmian z 2023 r. w świetle ochrony życia matki</w:t>
      </w:r>
    </w:p>
    <w:p>
      <w:r>
        <w:t>Regulacja maltańska tradycyjnie przybiera postać penalizacji przerwania ciąży w Kodeksie karnym (Criminal Code). Konstrukcyjnie przestępstwo obejmuje zarówno zachowania osoby trzeciej dokonującej zabiegu, jak i udział kobiety w jego dokonaniu, co czyni prawo karne podstawowym instrumentem ochrony życia prenatalnego. W modelu tym ochrona życia poczętego ma charakter dominujący, a ustawodawca minimalizuje przestrzeń dla wyjątków.</w:t>
      </w:r>
      <w:r>
        <w:t xml:space="preserve"> </w:t>
      </w:r>
      <w:r>
        <w:rPr>
          <w:vertAlign w:val="superscript"/>
        </w:rPr>
        <w:t>1</w:t>
      </w:r>
    </w:p>
    <w:p>
      <w:r>
        <w:t>W 2023 r. wprowadzono zmianę, której ratio legis przedstawiano jako zapewnienie bezpieczeństwa medycznego w sytuacjach zagrożenia życia kobiety. Z perspektywy dogmatycznej jest to istotne, ponieważ nawet w systemie zakazowym pojawia się potrzeba doprecyzowania granic stanu wyższej konieczności w medycynie, aby ograniczyć ryzyko zaniechania interwencji ratującej życie. W konsekwencji ocena maltańskiego modelu wymaga rozróżnienia: (a) utrzymania generalnej penalizacji aborcji oraz (b) wyodrębnienia wąskiego wyjątku w przypadkach bezpośredniego zagrożenia życia, który ma znaczenie przede wszystkim dla praktyki klinicznej i decyzji personelu medycznego.</w:t>
      </w:r>
      <w:r>
        <w:t xml:space="preserve"> </w:t>
      </w:r>
      <w:r>
        <w:rPr>
          <w:vertAlign w:val="superscript"/>
        </w:rPr>
        <w:t>1</w:t>
      </w:r>
    </w:p>
    <w:p>
      <w:pPr>
        <w:pStyle w:val="Heading2"/>
      </w:pPr>
      <w:r>
        <w:t>2.3. Niemcy: konstrukcja „bezprawności niepodlegającej karze” (straflos aber rechtswidrig) i system obowiązkowego poradnictwa</w:t>
      </w:r>
    </w:p>
    <w:p>
      <w:r>
        <w:t>W prawie niemieckim punkt wyjścia stanowi kryminalizacja aborcji w StGB. Jednocześnie ustawodawca przewiduje sytuacje niekaralności, które – w dyskursie prawniczym – bywają ujmowane jako „bezprawność niepodlegająca karze”. Rozwiązanie to ma doniosłe konsekwencje: państwo nie rezygnuje z aksjologicznego potępienia czynu, lecz odstępuje od represji pod warunkiem spełnienia ustawowych wymogów, które mają pełnić funkcję ochronną (w szczególności przez poradnictwo i upływ czasu).</w:t>
      </w:r>
      <w:r>
        <w:t xml:space="preserve"> </w:t>
      </w:r>
      <w:r>
        <w:rPr>
          <w:vertAlign w:val="superscript"/>
        </w:rPr>
        <w:t>7</w:t>
      </w:r>
      <w:r>
        <w:t>,</w:t>
      </w:r>
      <w:r>
        <w:rPr>
          <w:vertAlign w:val="superscript"/>
        </w:rPr>
        <w:t>8</w:t>
      </w:r>
    </w:p>
    <w:p>
      <w:r>
        <w:t>Orzecznictwo BVerfG stanowi konstytucyjny fundament tej konstrukcji: Trybunał podkreśla obowiązek państwa ochrony życia prenatalnego, dopuszczając zarazem, aby instrumenty ochronne nie ograniczały się do sankcji karnych, lecz obejmowały środki prewencyjne i socjalne. W tym ujęciu poradnictwo ma charakter instytucjonalnego „kanału” realizacji ochrony życia, a nie jedynie formalnego wymogu.</w:t>
      </w:r>
      <w:r>
        <w:t xml:space="preserve"> </w:t>
      </w:r>
      <w:r>
        <w:rPr>
          <w:vertAlign w:val="superscript"/>
        </w:rPr>
        <w:t>3</w:t>
      </w:r>
    </w:p>
    <w:p>
      <w:pPr>
        <w:pStyle w:val="Heading2"/>
      </w:pPr>
      <w:r>
        <w:t>2.4. Holandia: prawne ramy aborcji na żądanie do momentu przeżywalności płodu (viability) i zniesienie obligatoryjnego okresu oczekiwania</w:t>
      </w:r>
    </w:p>
    <w:p>
      <w:r>
        <w:t>Holenderska ustawa WAZ konstruuje dopuszczalność przerwania ciąży w oparciu o kryterium przeżywalności płodu poza organizmem matki, które ma charakter dynamiczny i pozostaje powiązane z wiedzą medyczną. Ustawodawca kładzie nacisk na należyte poinformowanie pacjentki, rozważenie sytuacji oraz zapewnienie, że decyzja jest podjęta w sposób przemyślany. W efekcie centralnym punktem regulacji nie jest penalizacja, lecz wymogi staranności i organizacji świadczenia w systemie ochrony zdrowia.</w:t>
      </w:r>
      <w:r>
        <w:t xml:space="preserve"> </w:t>
      </w:r>
      <w:r>
        <w:rPr>
          <w:vertAlign w:val="superscript"/>
        </w:rPr>
        <w:t>2</w:t>
      </w:r>
    </w:p>
    <w:p>
      <w:r>
        <w:t>W praktyce europejskiej szczególne znaczenie ma trend odchodzenia od sztywnych, obligatoryjnych okresów oczekiwania, zastępowanych elastyczniejszymi standardami informacyjnymi i konsultacyjnymi. W modelu holenderskim dyskusja ta wiąże się z oceną, czy ustawowy „czas do namysłu” rzeczywiście zwiększa autonomię decyzji, czy raczej tworzy barierę dostępu do świadczeń. Z perspektywy prawnoporównawczej to istotny element różnicujący Holandię i Niemcy, gdzie czas i poradnictwo pełnią także funkcję instrumentu ochrony życia prenatalnego.</w:t>
      </w:r>
      <w:r>
        <w:t xml:space="preserve"> </w:t>
      </w:r>
      <w:r>
        <w:rPr>
          <w:vertAlign w:val="superscript"/>
        </w:rPr>
        <w:t>2</w:t>
      </w:r>
      <w:r>
        <w:t>,</w:t>
      </w:r>
      <w:r>
        <w:rPr>
          <w:vertAlign w:val="superscript"/>
        </w:rPr>
        <w:t>7</w:t>
      </w:r>
      <w:r>
        <w:t>,</w:t>
      </w:r>
      <w:r>
        <w:rPr>
          <w:vertAlign w:val="superscript"/>
        </w:rPr>
        <w:t>8</w:t>
      </w:r>
    </w:p>
    <w:p>
      <w:pPr>
        <w:pStyle w:val="Heading2"/>
      </w:pPr>
      <w:r>
        <w:t>2.5. Status prawny klauzuli sumienia i jej wpływ na dostępność świadczeń w wybranych jurysdykcjach</w:t>
      </w:r>
    </w:p>
    <w:p>
      <w:r>
        <w:t>Klauzula sumienia stanowi mechanizm prawny mający chronić wolność sumienia osób wykonujących zawody medyczne, jednak jej zakres i warunki stosowania mogą istotnie wpływać na realną dostępność świadczeń. W ujęciu prawnoporównawczym istotne jest rozróżnienie pomiędzy: (a) prawem jednostkowego sprzeciwu konkretnego lekarza oraz (b) systemowymi obowiązkami państwa w zakresie organizacji opieki zdrowotnej. Nawet przy uznaniu sprzeciwu sumienia, państwo pozostaje zobowiązane do zapewnienia skutecznej ścieżki dostępu do świadczenia tam, gdzie jest ono legalne; w przeciwnym razie dochodzi do naruszenia standardów proceduralnych ochrony praw pacjentki.</w:t>
      </w:r>
      <w:r>
        <w:t xml:space="preserve"> </w:t>
      </w:r>
      <w:r>
        <w:rPr>
          <w:vertAlign w:val="superscript"/>
        </w:rPr>
        <w:t>4</w:t>
      </w:r>
      <w:r>
        <w:t>,</w:t>
      </w:r>
      <w:r>
        <w:rPr>
          <w:vertAlign w:val="superscript"/>
        </w:rPr>
        <w:t>5</w:t>
      </w:r>
    </w:p>
    <w:p>
      <w:r>
        <w:br w:type="page"/>
      </w:r>
    </w:p>
    <w:p>
      <w:pPr>
        <w:pStyle w:val="Heading1"/>
      </w:pPr>
      <w:r>
        <w:t>Przypisy</w:t>
      </w:r>
    </w:p>
    <w:p>
      <w:r>
        <w:rPr>
          <w:b/>
        </w:rPr>
        <w:t xml:space="preserve">1. </w:t>
      </w:r>
      <w:r>
        <w:t>Malta, Criminal Code (Chapter 9), consolidated text on Legislation Malta (ELI). Dostęp: 24.12.2025, https://legislation.mt/eli/cap/9/eng/html</w:t>
      </w:r>
    </w:p>
    <w:p>
      <w:r>
        <w:rPr>
          <w:b/>
        </w:rPr>
        <w:t xml:space="preserve">2. </w:t>
      </w:r>
      <w:r>
        <w:t>Netherlands, Wet afbreking zwangerschap (WAZ), consolidated text on wetten.overheid.nl (BWBR0003396). Dostęp: 24.12.2025, https://wetten.overheid.nl/BWBR0003396/</w:t>
      </w:r>
    </w:p>
    <w:p>
      <w:r>
        <w:rPr>
          <w:b/>
        </w:rPr>
        <w:t xml:space="preserve">3. </w:t>
      </w:r>
      <w:r>
        <w:t>BVerfG, Urteil des Zweiten Senats vom 28. Mai 1993, 2 BvF 2/90 u.a. (tzw. drugie orzeczenie aborcyjne). Dostęp: 24.12.2025, https://www.bundesverfassungsgericht.de/SharedDocs/Entscheidungen/DE/1993/05/rs19930528_2bvf000290.html</w:t>
      </w:r>
    </w:p>
    <w:p>
      <w:r>
        <w:rPr>
          <w:b/>
        </w:rPr>
        <w:t xml:space="preserve">4. </w:t>
      </w:r>
      <w:r>
        <w:t>ETPCz, Tysiąc p. Polsce, skarga nr 5410/03, wyrok z 20.03.2007 (HUDOC). Dostęp: 24.12.2025, https://hudoc.echr.coe.int/eng?i=001-79812</w:t>
      </w:r>
    </w:p>
    <w:p>
      <w:r>
        <w:rPr>
          <w:b/>
        </w:rPr>
        <w:t xml:space="preserve">5. </w:t>
      </w:r>
      <w:r>
        <w:t>ETPCz, A., B. i C. p. Irlandii, skarga nr 25579/05, wyrok Wielkiej Izby z 16.12.2010 (HUDOC). Dostęp: 24.12.2025, https://hudoc.echr.coe.int/</w:t>
      </w:r>
    </w:p>
    <w:p>
      <w:r>
        <w:rPr>
          <w:b/>
        </w:rPr>
        <w:t xml:space="preserve">6. </w:t>
      </w:r>
      <w:r>
        <w:t>ETPCz, Vo p. Francji, skarga nr 53924/00, wyrok Wielkiej Izby z 08.07.2004 (HUDOC). Dostęp: 24.12.2025, https://hudoc.echr.coe.int/</w:t>
      </w:r>
    </w:p>
    <w:p>
      <w:r>
        <w:rPr>
          <w:b/>
        </w:rPr>
        <w:t xml:space="preserve">7. </w:t>
      </w:r>
      <w:r>
        <w:t>StGB § 218 (Abbruch der Schwangerschaft) – tekst dostępny w publicznym serwisie prawnym dejure.org (źródło pomocnicze; zalecana weryfikacja z oficjalnym serwisem Bundesministeriums der Justiz). Dostęp: 24.12.2025, https://dejure.org/gesetze/StGB/218.html</w:t>
      </w:r>
    </w:p>
    <w:p>
      <w:r>
        <w:rPr>
          <w:b/>
        </w:rPr>
        <w:t xml:space="preserve">8. </w:t>
      </w:r>
      <w:r>
        <w:t>StGB § 218a (Straflosigkeit des Schwangerschaftsabbruchs) – tekst dostępny w publicznym serwisie prawnym dejure.org (źródło pomocnicze; zalecana weryfikacja z oficjalnym serwisem Bundesministeriums der Justiz). Dostęp: 24.12.2025, https://dejure.org/gesetze/StGB/218a.html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