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Temat pracy:</w:t>
      </w:r>
    </w:p>
    <w:p>
      <w:r>
        <w:t>Prawne regulacje przerwania ciąży w wybranych krajach Unii Europejskiej na przykładzie Malty, Niemiec i Holandii</w:t>
      </w:r>
    </w:p>
    <w:p>
      <w:r>
        <w:t>Data opracowania: 25.12.2025</w:t>
      </w:r>
    </w:p>
    <w:p>
      <w:r>
        <w:br w:type="page"/>
      </w:r>
    </w:p>
    <w:p>
      <w:pPr>
        <w:pStyle w:val="Heading1"/>
        <w:spacing w:line="360" w:lineRule="auto" w:after="120"/>
      </w:pPr>
      <w:r>
        <w:t>Wstęp</w:t>
      </w:r>
    </w:p>
    <w:p>
      <w:pPr>
        <w:spacing w:line="360" w:lineRule="auto" w:after="0"/>
        <w:ind w:firstLine="567"/>
        <w:jc w:val="both"/>
      </w:pPr>
      <w:r>
        <w:t>Problematyka prawnej dopuszczalności przerwania ciąży pozostaje jednym z najbardziej spornych zagadnień współczesnego prawa publicznego i prawa medycznego. Spór ten ma charakter wielowymiarowy: dotyczy aksjologii konstytucyjnej (ochrona życia i godność człowieka), praw jednostki (autonomia i prywatność), a zarazem funkcjonuje w praktycznym kontekście dostępu do świadczeń zdrowotnych, jakości procedur medycznych i organizacji systemu ochrony zdrowia. W orzecznictwie Europejskiego Trybunału Praw Człowieka utrwalone jest stanowisko, że Konwencja nie narzuca jednolitego modelu materialnej dopuszczalności aborcji; państwa korzystają z szerokiego marginesu oceny, natomiast podlegają kontroli w zakresie standardów proceduralnych, zwłaszcza gdy ich prawo krajowe dopuszcza aborcję w określonych sytuacjach.</w:t>
      </w:r>
      <w:r>
        <w:t xml:space="preserve"> </w:t>
      </w:r>
      <w:r>
        <w:rPr>
          <w:vertAlign w:val="superscript"/>
        </w:rPr>
        <w:t>11</w:t>
      </w:r>
      <w:r>
        <w:t>,</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Celem niniejszej pracy (w części obejmującej Wstęp oraz dwa pierwsze rozdziały) jest dogmatyczna i porównawcza analiza regulacji przerwania ciąży w trzech państwach członkowskich UE: na Malcie, w Niemczech i w Holandii. Dobór państw ma charakter celowy: Malta reprezentuje model restrykcyjny, oparty na penalizacji i bardzo wąskich wyjątkach; Niemcy – model kompromisowy, bazujący na połączeniu kryminalizacji z systemem niekaralności po spełnieniu przesłanek; Holandia – model liberalny, osadzony w logice „należytej staranności” i organizacji świadczenia zdrowotnego.</w:t>
      </w:r>
      <w:r>
        <w:t xml:space="preserve"> </w:t>
      </w:r>
      <w:r>
        <w:rPr>
          <w:vertAlign w:val="superscript"/>
        </w:rPr>
        <w:t>1</w:t>
      </w:r>
      <w:r>
        <w:t>,</w:t>
      </w:r>
      <w:r>
        <w:rPr>
          <w:vertAlign w:val="superscript"/>
        </w:rPr>
        <w:t>3</w:t>
      </w:r>
      <w:r>
        <w:t>,</w:t>
      </w:r>
      <w:r>
        <w:rPr>
          <w:vertAlign w:val="superscript"/>
        </w:rPr>
        <w:t>4</w:t>
      </w:r>
      <w:r>
        <w:t>,</w:t>
      </w:r>
      <w:r>
        <w:rPr>
          <w:vertAlign w:val="superscript"/>
        </w:rPr>
        <w:t>6</w:t>
      </w:r>
      <w:r>
        <w:t>,</w:t>
      </w:r>
      <w:r>
        <w:rPr>
          <w:vertAlign w:val="superscript"/>
        </w:rPr>
        <w:t>7</w:t>
      </w:r>
      <w:r>
        <w:t>,</w:t>
      </w:r>
      <w:r>
        <w:rPr>
          <w:vertAlign w:val="superscript"/>
        </w:rPr>
        <w:t>8</w:t>
      </w:r>
    </w:p>
    <w:p>
      <w:pPr>
        <w:spacing w:line="360" w:lineRule="auto" w:after="0"/>
        <w:ind w:firstLine="567"/>
        <w:jc w:val="both"/>
      </w:pPr>
      <w:r>
        <w:t>Praca ma charakter dogmatyczno‑prawny, z elementami analizy historyczno‑prawnej oraz prawnoporównawczej. Materiałem podstawowym są akty prawne oraz judykatura (w szczególności ETPCz), przy czym analizowane są zarówno rozwiązania materialne, jak i proceduralne. W zakresie standardów strasburskich punkt ciężkości położono na wymaganiach dotyczących efektywności mechanizmów dostępu do legalnej procedury medycznej, rozstrzygania konfliktu z lekarzami oraz terminowości działania organów.</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W ujęciu problemowym praca odpowiada na następujące pytania badawcze: (1) jakie modele regulacji przerwania ciąży funkcjonują w Unii Europejskiej i w jaki sposób omawiane państwa wpisują się w tę typologię; (2) jak kształtują się granice odpowiedzialności karnej i administracyjnej w analizowanych systemach; (3) jakie znaczenie mają rozwiązania proceduralne (poradnictwo, wymogi organizacyjne, nadzór) dla realnej dostępności świadczeń; (4) w jakim zakresie standardy ETPCz – mimo braku harmonizacji materialnej – wpływają na krajowe ustawodawstwo i praktykę jego stosowania.</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Zakres pracy jest ograniczony do analizy prawnej (dogmatycznej) i prawnoporównawczej. Nie stanowi ona rozstrzygnięcia sporów światopoglądowych, lecz ma na celu możliwie precyzyjne odtworzenie treści norm, ich konstrukcji systemowej oraz konsekwencji proceduralnych. Z tego względu szczególną uwagę poświęcono mechanizmom, które w praktyce decydują o tym, czy uprawnienie do legalnego przerwania ciąży ma charakter realny, czy iluzoryczny – co w świetle judykatury strasburskiej jest kluczowym kryterium oceny.</w:t>
      </w:r>
      <w:r>
        <w:t xml:space="preserve"> </w:t>
      </w:r>
      <w:r>
        <w:rPr>
          <w:vertAlign w:val="superscript"/>
        </w:rPr>
        <w:t>12</w:t>
      </w:r>
      <w:r>
        <w:t>,</w:t>
      </w:r>
      <w:r>
        <w:rPr>
          <w:vertAlign w:val="superscript"/>
        </w:rPr>
        <w:t>13</w:t>
      </w:r>
    </w:p>
    <w:p>
      <w:pPr>
        <w:spacing w:line="360" w:lineRule="auto" w:after="0"/>
        <w:ind w:firstLine="567"/>
        <w:jc w:val="both"/>
      </w:pPr>
      <w:r>
        <w:t>W odniesieniu do terminologii przyjęto, że określenie „aborcja” (przerwanie ciąży) jest używane w sensie instytucji prawnej, natomiast w przypadku Malty, zgodnie z tekstem ustawy, stosowana jest także kategoria „miscarriage” (poronienie) jako pojęcie techniczno‑prawne obejmujące zachowania penalizowane w art. 241–243 Criminal Code.</w:t>
      </w:r>
      <w:r>
        <w:t xml:space="preserve"> </w:t>
      </w:r>
      <w:r>
        <w:rPr>
          <w:vertAlign w:val="superscript"/>
        </w:rPr>
        <w:t>1</w:t>
      </w:r>
    </w:p>
    <w:p>
      <w:pPr>
        <w:pStyle w:val="Heading1"/>
        <w:spacing w:line="360" w:lineRule="auto" w:after="120"/>
      </w:pPr>
      <w:r>
        <w:t>Rozdział I. Pojęcie i rozwój instytucji aborcji</w:t>
      </w:r>
    </w:p>
    <w:p>
      <w:pPr>
        <w:pStyle w:val="Heading2"/>
        <w:spacing w:line="360" w:lineRule="auto" w:after="120"/>
      </w:pPr>
      <w:r>
        <w:t>1.1. Społeczno-kulturowe i religijne uwarunkowania ewolucji prawa aborcyjnego w Europie</w:t>
      </w:r>
    </w:p>
    <w:p>
      <w:pPr>
        <w:spacing w:line="360" w:lineRule="auto" w:after="0"/>
        <w:ind w:firstLine="567"/>
        <w:jc w:val="both"/>
      </w:pPr>
      <w:r>
        <w:t>W Europie regulacja przerwania ciąży była i pozostaje silnie determinowana przez czynniki społeczno‑kulturowe, w tym tradycje religijne oraz dominujące w danym społeczeństwie koncepcje moralne. Nie chodzi jednak wyłącznie o przeciwstawienie „religijnego zakazu” i „świeckiej liberalizacji”. W praktyce ustawodawczej spór o aborcję przenika się z ewolucją pojęć prawnych i konstytucyjnych: zakresu ochrony życia, rozumienia godności, autonomii i prywatności, a także sposobu konceptualizacji obowiązków państwa w obszarze ochrony zdrowia.</w:t>
      </w:r>
    </w:p>
    <w:p>
      <w:pPr>
        <w:spacing w:line="360" w:lineRule="auto" w:after="0"/>
        <w:ind w:firstLine="567"/>
        <w:jc w:val="both"/>
      </w:pPr>
      <w:r>
        <w:t>Na poziomie dogmatycznym różnice światopoglądowe przekładają się na odmienne techniki legislacyjne. W systemach restrykcyjnych przerwanie ciąży bywa ujmowane jako przestępstwo przeciwko życiu (lub – jak w prawie maltańskim – jako „miscarriage”), co lokuje problem przede wszystkim w prawie karnym i wzmacnia funkcję prewencyjno‑odstraszającą. W systemach liberalnych ustawodawca częściej odchodzi od penalizacji na rzecz ujęcia instytucji w logice prawa medycznego i administracyjnego: centralne stają się standardy staranności, obowiązki informacyjne, licencjonowanie podmiotów, nadzór oraz sprawozdawczość. Na tle trzech analizowanych państw widać to wyraźnie: Malta akcentuje sankcję karną, Holandia – organizację świadczenia, zaś Niemcy lokują się pośrodku, łącząc kryminalizację z systemem „niekaralności” i poradnictwa.</w:t>
      </w:r>
      <w:r>
        <w:t xml:space="preserve"> </w:t>
      </w:r>
      <w:r>
        <w:rPr>
          <w:vertAlign w:val="superscript"/>
        </w:rPr>
        <w:t>1</w:t>
      </w:r>
      <w:r>
        <w:t>,</w:t>
      </w:r>
      <w:r>
        <w:rPr>
          <w:vertAlign w:val="superscript"/>
        </w:rPr>
        <w:t>3</w:t>
      </w:r>
      <w:r>
        <w:t>,</w:t>
      </w:r>
      <w:r>
        <w:rPr>
          <w:vertAlign w:val="superscript"/>
        </w:rPr>
        <w:t>4</w:t>
      </w:r>
      <w:r>
        <w:t>,</w:t>
      </w:r>
      <w:r>
        <w:rPr>
          <w:vertAlign w:val="superscript"/>
        </w:rPr>
        <w:t>6</w:t>
      </w:r>
    </w:p>
    <w:p>
      <w:pPr>
        <w:spacing w:line="360" w:lineRule="auto" w:after="0"/>
        <w:ind w:firstLine="567"/>
        <w:jc w:val="both"/>
      </w:pPr>
      <w:r>
        <w:t>Warto podkreślić, że nawet w obrębie jednego modelu ustawodawca może realizować różne cele. W prawie niemieckim poradnictwo nie jest traktowane wyłącznie jako element wzmacniający autonomię decyzji, lecz ma także funkcję ochrony życia prenatalnego, wkomponowaną w konstytucyjny obowiązek ochronny państwa. W prawie holenderskim natomiast mechanizmy informacyjne i konsultacyjne są uzasadniane przede wszystkim potrzebą zapewnienia staranności decyzji oraz bezpieczeństwa świadczenia. Z kolei w prawie maltańskim współczesna dyskusja o granicach zakazu koncentruje się na tym, jak w sposób jednoznaczny wyznaczyć przestrzeń interwencji ratującej życie kobiety bez rozmontowywania modelu zakazowego.</w:t>
      </w:r>
      <w:r>
        <w:t xml:space="preserve"> </w:t>
      </w:r>
      <w:r>
        <w:rPr>
          <w:vertAlign w:val="superscript"/>
        </w:rPr>
        <w:t>1</w:t>
      </w:r>
      <w:r>
        <w:t>,</w:t>
      </w:r>
      <w:r>
        <w:rPr>
          <w:vertAlign w:val="superscript"/>
        </w:rPr>
        <w:t>4</w:t>
      </w:r>
      <w:r>
        <w:t>,</w:t>
      </w:r>
      <w:r>
        <w:rPr>
          <w:vertAlign w:val="superscript"/>
        </w:rPr>
        <w:t>6</w:t>
      </w:r>
      <w:r>
        <w:t>,</w:t>
      </w:r>
      <w:r>
        <w:rPr>
          <w:vertAlign w:val="superscript"/>
        </w:rPr>
        <w:t>17</w:t>
      </w:r>
    </w:p>
    <w:p>
      <w:pPr>
        <w:spacing w:line="360" w:lineRule="auto" w:after="0"/>
        <w:ind w:firstLine="567"/>
        <w:jc w:val="both"/>
      </w:pPr>
      <w:r>
        <w:t>Na ujęcie problemu wpływają także procesy medykalizacji i rozwój standardów klinicznych. Ustawodawcy – w różnym stopniu – odwołują się do kategorii takich jak „okres przeżywalności” (viability) czy „czas trwania ciąży” liczony według amenorrhoea. Odwołania te pełnią podwójną rolę: pozwalają z jednej strony obiektywizować granice dopuszczalności, z drugiej – przenoszą część ciężaru normatywnego na „aktualną praktykę medyczną”, co rodzi pytania o przewidywalność prawa i o kontrolę nad definicjami medycznymi.</w:t>
      </w:r>
      <w:r>
        <w:t xml:space="preserve"> </w:t>
      </w:r>
      <w:r>
        <w:rPr>
          <w:vertAlign w:val="superscript"/>
        </w:rPr>
        <w:t>1</w:t>
      </w:r>
      <w:r>
        <w:t>,</w:t>
      </w:r>
      <w:r>
        <w:rPr>
          <w:vertAlign w:val="superscript"/>
        </w:rPr>
        <w:t>6</w:t>
      </w:r>
      <w:r>
        <w:t>,</w:t>
      </w:r>
      <w:r>
        <w:rPr>
          <w:vertAlign w:val="superscript"/>
        </w:rPr>
        <w:t>10</w:t>
      </w:r>
    </w:p>
    <w:p>
      <w:pPr>
        <w:spacing w:line="360" w:lineRule="auto" w:after="0"/>
        <w:ind w:firstLine="567"/>
        <w:jc w:val="both"/>
      </w:pPr>
      <w:r>
        <w:t>W tym kontekście szczególnego znaczenia nabiera standard strasburski. Trybunał w sprawach dotyczących przerwania ciąży nie zastępuje ustawodawcy krajowego w określaniu wartości chronionych, ale kontroluje, czy państwo zapewnia jednostce minimalne gwarancje proceduralne wynikające z Konwencji. Dotyczy to nie tylko dostępu do samego świadczenia, lecz także dostępu do informacji (w sprawie Open Door i Dublin Well Woman p. Irlandii), do rzetelnych procedur oceny przesłanek dopuszczalności (A, B i C p. Irlandii), a w przypadkach, gdy aborcja jest legalna na podstawie przesłanek medycznych – do skutecznego mechanizmu rozstrzygania sporu pomiędzy pacjentką a personelem medycznym (Tysiąc p. Polsce; R.R. p. Polsce; P. i S. p. Polsce).</w:t>
      </w:r>
      <w:r>
        <w:t xml:space="preserve"> </w:t>
      </w:r>
      <w:r>
        <w:rPr>
          <w:vertAlign w:val="superscript"/>
        </w:rPr>
        <w:t>12</w:t>
      </w:r>
      <w:r>
        <w:t>,</w:t>
      </w:r>
      <w:r>
        <w:rPr>
          <w:vertAlign w:val="superscript"/>
        </w:rPr>
        <w:t>13</w:t>
      </w:r>
      <w:r>
        <w:t>,</w:t>
      </w:r>
      <w:r>
        <w:rPr>
          <w:vertAlign w:val="superscript"/>
        </w:rPr>
        <w:t>14</w:t>
      </w:r>
      <w:r>
        <w:t>,</w:t>
      </w:r>
      <w:r>
        <w:rPr>
          <w:vertAlign w:val="superscript"/>
        </w:rPr>
        <w:t>15</w:t>
      </w:r>
      <w:r>
        <w:t>,</w:t>
      </w:r>
      <w:r>
        <w:rPr>
          <w:vertAlign w:val="superscript"/>
        </w:rPr>
        <w:t>16</w:t>
      </w:r>
    </w:p>
    <w:p>
      <w:pPr>
        <w:spacing w:line="360" w:lineRule="auto" w:after="0"/>
        <w:ind w:firstLine="567"/>
        <w:jc w:val="both"/>
      </w:pPr>
      <w:r>
        <w:t>Z perspektywy prawa porównawczego oznacza to, że „realny kształt” instytucji przerwania ciąży wyznaczają nie tylko przesłanki materialne, lecz również konstrukcje proceduralne: kto podejmuje decyzję (kobieta, lekarz, zespół lekarski, organ administracji), jakie dowody i opinie są wymagane, w jakim terminie należy je uzyskać, czy istnieje procedura odwoławcza oraz jak ustawodawca rozwiązuje konflikt sumienia personelu z obowiązkiem zapewnienia świadczenia. Taka perspektywa jest szczególnie przydatna przy analizie modelu maltańskiego (proceduralizacja wyjątku ratunkowego), niemieckiego (proceduralizacja niekaralności przez poradnictwo) i holenderskiego (proceduralizacja świadczenia przez licencjonowanie i nadzór).</w:t>
      </w:r>
      <w:r>
        <w:t xml:space="preserve"> </w:t>
      </w:r>
      <w:r>
        <w:rPr>
          <w:vertAlign w:val="superscript"/>
        </w:rPr>
        <w:t>1</w:t>
      </w:r>
      <w:r>
        <w:t>,</w:t>
      </w:r>
      <w:r>
        <w:rPr>
          <w:vertAlign w:val="superscript"/>
        </w:rPr>
        <w:t>4</w:t>
      </w:r>
      <w:r>
        <w:t>,</w:t>
      </w:r>
      <w:r>
        <w:rPr>
          <w:vertAlign w:val="superscript"/>
        </w:rPr>
        <w:t>6</w:t>
      </w:r>
    </w:p>
    <w:p>
      <w:pPr>
        <w:spacing w:line="360" w:lineRule="auto" w:after="0"/>
        <w:ind w:firstLine="567"/>
        <w:jc w:val="both"/>
      </w:pPr>
      <w:r>
        <w:t>Na poziomie europejskiego systemu ochrony praw człowieka szczególnie istotne jest to, że ETPCz w sprawie Vo p. Francji nie rozstrzygnął definitywnie, czy i w jakim zakresie płód może być uznany za „osobę” w rozumieniu art. 2 EKPC, pozostawiając państwom margines oceny. W konsekwencji Trybunał nie ustanowił jednolitego standardu materialnego, natomiast rozwinął standardy proceduralne, których naruszenie może prowadzić do odpowiedzialności państwa niezależnie od tego, czy dany system jest restrykcyjny czy liberalny.</w:t>
      </w:r>
      <w:r>
        <w:t xml:space="preserve"> </w:t>
      </w:r>
      <w:r>
        <w:rPr>
          <w:vertAlign w:val="superscript"/>
        </w:rPr>
        <w:t>11</w:t>
      </w:r>
    </w:p>
    <w:p>
      <w:pPr>
        <w:pStyle w:val="Heading2"/>
        <w:spacing w:line="360" w:lineRule="auto" w:after="120"/>
      </w:pPr>
      <w:r>
        <w:t>1.2. Od całkowitego zakazu do wąskiego wyjątku: historia prawnej ochrony życia poczętego na Malcie</w:t>
      </w:r>
    </w:p>
    <w:p>
      <w:pPr>
        <w:spacing w:line="360" w:lineRule="auto" w:after="0"/>
        <w:ind w:firstLine="567"/>
        <w:jc w:val="both"/>
      </w:pPr>
      <w:r>
        <w:t>Malta stanowi przykład systemu, w którym regulacja przerwania ciąży została tradycyjnie ujęta przede wszystkim w prawie karnym. Penalizacja obejmuje zarówno zachowania osób trzecich, jak i zachowania samej kobiety ciężarnej, przy czym ustawodawca operuje terminologią „miscarriage”. Konstrukcja ta wzmacnia funkcję odstraszającą prawa karnego, ale równocześnie może wytwarzać efekt mrożący w praktyce klinicznej w sytuacjach granicznych, gdy konieczna jest ocena ryzyka dla życia i zdrowia kobiety.</w:t>
      </w:r>
      <w:r>
        <w:t xml:space="preserve"> </w:t>
      </w:r>
      <w:r>
        <w:rPr>
          <w:vertAlign w:val="superscript"/>
        </w:rPr>
        <w:t>1</w:t>
      </w:r>
    </w:p>
    <w:p>
      <w:pPr>
        <w:spacing w:line="360" w:lineRule="auto" w:after="0"/>
        <w:ind w:firstLine="567"/>
        <w:jc w:val="both"/>
      </w:pPr>
      <w:r>
        <w:t>W skonsolidowanym tekście Criminal Code (Cap. 9) art. 241(1) przewiduje karę pozbawienia wolności za spowodowanie poronienia kobiety ciężarnej – niezależnie od jej zgody. Art. 241(2) penalizuje natomiast spowodowanie własnego poronienia oraz zgodę na użycie środków. Dodatkowo art. 243 przewiduje zaostrzenie odpowiedzialności dla określonych zawodów medycznych, łącząc karę pozbawienia wolności z dożywotnim zakazem wykonywania zawodu.</w:t>
      </w:r>
      <w:r>
        <w:t xml:space="preserve"> </w:t>
      </w:r>
      <w:r>
        <w:rPr>
          <w:vertAlign w:val="superscript"/>
        </w:rPr>
        <w:t>1</w:t>
      </w:r>
    </w:p>
    <w:p>
      <w:pPr>
        <w:spacing w:line="360" w:lineRule="auto" w:after="0"/>
        <w:ind w:firstLine="567"/>
        <w:jc w:val="both"/>
      </w:pPr>
      <w:r>
        <w:t>Z perspektywy rozwoju instytucji aborcji szczególne znaczenie ma dodanie art. 243B w 2023 r. Wyjątek ten nie wprowadza klasycznego modelu przesłankowego, lecz stanowi ściśle określone wyłączenie odpowiedzialności karnej w sytuacjach interwencji medycznej podejmowanej dla ratowania życia i ochrony zdrowia kobiety ciężarnej w związku z powikłaniem medycznym, które może postawić jej życie w natychmiastowym niebezpieczeństwie albo narazić jej zdrowie na „grave jeopardy” mogące prowadzić do śmierci.</w:t>
      </w:r>
      <w:r>
        <w:t xml:space="preserve"> </w:t>
      </w:r>
      <w:r>
        <w:rPr>
          <w:vertAlign w:val="superscript"/>
        </w:rPr>
        <w:t>1</w:t>
      </w:r>
      <w:r>
        <w:t>,</w:t>
      </w:r>
      <w:r>
        <w:rPr>
          <w:vertAlign w:val="superscript"/>
        </w:rPr>
        <w:t>2</w:t>
      </w:r>
    </w:p>
    <w:p>
      <w:pPr>
        <w:spacing w:line="360" w:lineRule="auto" w:after="0"/>
        <w:ind w:firstLine="567"/>
        <w:jc w:val="both"/>
      </w:pPr>
      <w:r>
        <w:t>Dogmatycznie istotne jest, że art. 243B został zbudowany wokół dwóch poziomów przesłanek. Po pierwsze, wskazuje on na cel interwencji: „saving the life and protecting the health of a pregnant woman” w kontekście powikłania medycznego stwarzającego ryzyko natychmiastowego zagrożenia życia albo poważnego zagrożenia zdrowia mogącego prowadzić do śmierci. Po drugie, przepis wprowadza warunki proceduralno‑organizacyjne, które ograniczają zakres zastosowania wyjątku. Zastosowanie wyłączenia odpowiedzialności wymaga bowiem oceny „circumstances of necessity” według „medical practices current in Malta”, a także spełnienia przesłanek odnoszących się do okresu „viability” oraz do składu i decyzji „medical team”.</w:t>
      </w:r>
      <w:r>
        <w:t xml:space="preserve"> </w:t>
      </w:r>
      <w:r>
        <w:rPr>
          <w:vertAlign w:val="superscript"/>
        </w:rPr>
        <w:t>1</w:t>
      </w:r>
    </w:p>
    <w:p>
      <w:pPr>
        <w:spacing w:line="360" w:lineRule="auto" w:after="0"/>
        <w:ind w:firstLine="567"/>
        <w:jc w:val="both"/>
      </w:pPr>
      <w:r>
        <w:t>Ustawodawca wprost definiuje „medical team” jako trzech lekarzy‑specjalistów, w tym dwóch specjalistów ginekologii i położnictwa (jeden z nich wykonuje zabieg) oraz trzeciego specjalistę adekwatnego do schorzenia, z którego wynika powikłanie. To rozwiązanie wprowadza element kolegialności decyzji medycznej i zarazem pełni funkcję „proceduralnej kotwicy” legalności działania personelu. W modelu zakazowym ma to znaczenie dwojakie: z jednej strony zabezpiecza przed dowolnością, z drugiej – może generować praktyczne ryzyko opóźnienia, jeżeli wymóg zebrania zespołu w krótkim czasie okaże się trudny do spełnienia.</w:t>
      </w:r>
      <w:r>
        <w:t xml:space="preserve"> </w:t>
      </w:r>
      <w:r>
        <w:rPr>
          <w:vertAlign w:val="superscript"/>
        </w:rPr>
        <w:t>1</w:t>
      </w:r>
    </w:p>
    <w:p>
      <w:pPr>
        <w:spacing w:line="360" w:lineRule="auto" w:after="0"/>
        <w:ind w:firstLine="567"/>
        <w:jc w:val="both"/>
      </w:pPr>
      <w:r>
        <w:t>Szczególnej uwagi wymaga definicja „period of viability”, która odsyła do „current medical practices”. Taki zabieg legislacyjny ma charakter dynamiczny: granica przeżywalności nie jest wprost „zakodowana” w ustawie, lecz zależy od rozwoju medycyny i praktyk klinicznych. W świetle praw człowieka oraz pewności prawa rodzi to pytania o przewidywalność i kontrolowalność tej granicy. Z perspektywy ustawodawcy maltańskiego ujęcie takie pozwala jednak uniknąć ustalenia sztywnego progu, a zarazem harmonizuje wyjątek z logiką ratowania życia kobiety przy jednoczesnej ochronie życia prenatalnego.</w:t>
      </w:r>
      <w:r>
        <w:t xml:space="preserve"> </w:t>
      </w:r>
      <w:r>
        <w:rPr>
          <w:vertAlign w:val="superscript"/>
        </w:rPr>
        <w:t>1</w:t>
      </w:r>
    </w:p>
    <w:p>
      <w:pPr>
        <w:spacing w:line="360" w:lineRule="auto" w:after="0"/>
        <w:ind w:firstLine="567"/>
        <w:jc w:val="both"/>
      </w:pPr>
      <w:r>
        <w:t>Warto także zauważyć, że art. 243B nie eliminuje samej penalizacji aborcji jako instytucji, lecz wyłącza odpowiedzialność za określone zachowania w bardzo wąskim segmencie przypadków. W sensie systemowym jest to przesunięcie od modelu „absolutnego zakazu” do modelu „zakazu z wyraźnym wyjątkiem ratunkowym”. Taka ewolucja – choć ograniczona – ma znaczenie praktyczne, ponieważ prawo karne, pozostając podstawowym instrumentem regulacji, nie może abstrahować od sytuacji, w których zaniechanie interwencji może prowadzić do śmierci pacjentki.</w:t>
      </w:r>
      <w:r>
        <w:t xml:space="preserve"> </w:t>
      </w:r>
      <w:r>
        <w:rPr>
          <w:vertAlign w:val="superscript"/>
        </w:rPr>
        <w:t>1</w:t>
      </w:r>
      <w:r>
        <w:t>,</w:t>
      </w:r>
      <w:r>
        <w:rPr>
          <w:vertAlign w:val="superscript"/>
        </w:rPr>
        <w:t>2</w:t>
      </w:r>
    </w:p>
    <w:p>
      <w:pPr>
        <w:spacing w:line="360" w:lineRule="auto" w:after="0"/>
        <w:ind w:firstLine="567"/>
        <w:jc w:val="both"/>
      </w:pPr>
      <w:r>
        <w:t>Na tym tle szczególnie wyraźnie widać napięcie pomiędzy aksjologią ochrony życia prenatalnego a obowiązkami państwa w zakresie ochrony życia i zdrowia pacjentek. Nawet jeżeli państwo utrzymuje model zakazowy, to w praktyce system ochrony zdrowia wymaga klarownych reguł postępowania w stanach nagłych. Wprowadzenie art. 243B można więc traktować jako próbę „wyjęcia” z obszaru penalizacji działań o charakterze stricte ratunkowym, przy jednoczesnym zachowaniu restrykcyjnej struktury regulacyjnej. W dalszej analizie (Rozdział II) znaczenie będzie miało to, że wyjątek jest nie tylko wąski, ale też proceduralnie rozbudowany, co może oddziaływać na terminowość interwencji.</w:t>
      </w:r>
      <w:r>
        <w:t xml:space="preserve"> </w:t>
      </w:r>
      <w:r>
        <w:rPr>
          <w:vertAlign w:val="superscript"/>
        </w:rPr>
        <w:t>1</w:t>
      </w:r>
    </w:p>
    <w:p>
      <w:pPr>
        <w:pStyle w:val="Heading2"/>
        <w:spacing w:line="360" w:lineRule="auto" w:after="120"/>
      </w:pPr>
      <w:r>
        <w:t>1.3. Ewolucja modelu niemieckiego</w:t>
      </w:r>
    </w:p>
    <w:p>
      <w:pPr>
        <w:spacing w:line="360" w:lineRule="auto" w:after="0"/>
        <w:ind w:firstLine="567"/>
        <w:jc w:val="both"/>
      </w:pPr>
      <w:r>
        <w:t>Model niemiecki należy do najbardziej wpływowych rozwiązań europejskich, ponieważ w sposób systemowy rozwija rozróżnienie pomiędzy kryminalizacją, bezprawnością czynu oraz jego karalnością. W StGB § 218 ustanowiono typ podstawowy: przerwanie ciąży jest co do zasady czynem zabronionym zagrożonym karą (w przypadku sprawcy zewnętrznego do 3 lat pozbawienia wolności lub grzywna), przy czym ustawodawca odróżnia działania podejmowane przed zakończeniem zagnieżdżenia zapłodnionej komórki jajowej.</w:t>
      </w:r>
      <w:r>
        <w:t xml:space="preserve"> </w:t>
      </w:r>
      <w:r>
        <w:rPr>
          <w:vertAlign w:val="superscript"/>
        </w:rPr>
        <w:t>3</w:t>
      </w:r>
    </w:p>
    <w:p>
      <w:pPr>
        <w:spacing w:line="360" w:lineRule="auto" w:after="0"/>
        <w:ind w:firstLine="567"/>
        <w:jc w:val="both"/>
      </w:pPr>
      <w:r>
        <w:t>Jednocześnie § 218a wprowadza istotne wyłączenia: w ust. 1 przewidziano konstrukcję, w której „tatbestand” § 218 nie jest zrealizowany, jeżeli spełnione są przesłanki proceduralne i czasowe, w tym obowiązkowe poradnictwo co najmniej trzy dni przed zabiegiem oraz limit 12 tygodni od poczęcia. W ust. 2 i 3 ustawodawca przewiduje sytuacje, w których zabieg nie jest bezprawny (np. dla odwrócenia zagrożenia życia lub ciężkiego uszczerbku na zdrowiu kobiety, a także w kontekście przestępstw seksualnych).</w:t>
      </w:r>
      <w:r>
        <w:t xml:space="preserve"> </w:t>
      </w:r>
      <w:r>
        <w:rPr>
          <w:vertAlign w:val="superscript"/>
        </w:rPr>
        <w:t>4</w:t>
      </w:r>
    </w:p>
    <w:p>
      <w:pPr>
        <w:spacing w:line="360" w:lineRule="auto" w:after="0"/>
        <w:ind w:firstLine="567"/>
        <w:jc w:val="both"/>
      </w:pPr>
      <w:r>
        <w:t>W wymiarze konstytucyjnym rozważania te są powiązane z koncepcją obowiązku ochronnego państwa (Schutzpflicht) w odniesieniu do życia prenatalnego, rozwijaną w orzecznictwie Federalnego Trybunału Konstytucyjnego, które dopuszcza instrumenty ochronne inne niż sankcja karna, m.in. mechanizmy poradnictwa i wsparcia.</w:t>
      </w:r>
      <w:r>
        <w:t xml:space="preserve"> </w:t>
      </w:r>
      <w:r>
        <w:rPr>
          <w:vertAlign w:val="superscript"/>
        </w:rPr>
        <w:t>17</w:t>
      </w:r>
    </w:p>
    <w:p>
      <w:pPr>
        <w:spacing w:line="360" w:lineRule="auto" w:after="0"/>
        <w:ind w:firstLine="567"/>
        <w:jc w:val="both"/>
      </w:pPr>
      <w:r>
        <w:t>W konstrukcji § 218 StGB istotne jest również zróżnicowanie odpowiedzialności w zależności od podmiotu. Przepis przewiduje odpowiedzialność sprawcy dokonującego przerwania ciąży (ust. 1), wprowadza typ kwalifikowany dla „szczególnie ciężkich wypadków” (ust. 2) oraz odrębnie reguluje odpowiedzialność samej kobiety (ust. 3), przewidując dla niej łagodniejszą sankcję. Ustawodawca penalizuje także usiłowanie, jednak kobieta nie podlega karze za usiłowanie. Taka struktura wskazuje na próbę stopniowania reakcji państwa w zależności od sytuacji podmiotowej i ochrony interesów kobiety jako potencjalnej pacjentki systemu ochrony zdrowia.</w:t>
      </w:r>
      <w:r>
        <w:t xml:space="preserve"> </w:t>
      </w:r>
      <w:r>
        <w:rPr>
          <w:vertAlign w:val="superscript"/>
        </w:rPr>
        <w:t>3</w:t>
      </w:r>
    </w:p>
    <w:p>
      <w:pPr>
        <w:spacing w:line="360" w:lineRule="auto" w:after="0"/>
        <w:ind w:firstLine="567"/>
        <w:jc w:val="both"/>
      </w:pPr>
      <w:r>
        <w:t>Równolegle § 218a StGB realizuje ideę „kontrolowanej depenalizacji” przy zachowaniu aksjologicznego ciężaru ochrony życia prenatalnego. W ust. 1 ustawodawca stwierdza, że znamiona § 218 nie są zrealizowane, jeżeli kobieta żąda zabiegu, przedstawi lekarzowi zaświadczenie o odbyciu poradnictwa (z minimalnym odstępem trzydniowym), zabieg wykonuje lekarz oraz nie upłynęło więcej niż 12 tygodni od poczęcia. W ujęciu dogmatycznym jest to istotne, ponieważ ustawodawca nie posługuje się klasycznym „kontratypem” wprost, lecz operuje konstrukcją wyłączającą realizację znamion („Tatbestand”).</w:t>
      </w:r>
      <w:r>
        <w:t xml:space="preserve"> </w:t>
      </w:r>
      <w:r>
        <w:rPr>
          <w:vertAlign w:val="superscript"/>
        </w:rPr>
        <w:t>4</w:t>
      </w:r>
    </w:p>
    <w:p>
      <w:pPr>
        <w:spacing w:line="360" w:lineRule="auto" w:after="0"/>
        <w:ind w:firstLine="567"/>
        <w:jc w:val="both"/>
      </w:pPr>
      <w:r>
        <w:t>W ust. 2 § 218a ustawodawca reguluje wskazanie medyczne, posługując się kryterium konieczności odwrócenia zagrożenia życia albo ciężkiego uszczerbku na zdrowiu fizycznym lub psychicznym kobiety, przy jednoczesnym wymogu, aby zagrożenia nie dało się usunąć w inny sposób możliwy do zaakceptowania. W ust. 3 przewidziano natomiast sytuację przestępstwa seksualnego (odwołanie do określonych przepisów StGB), wymagając – obok przesłanki powiązania ciąży z czynem – zachowania limitu 12 tygodni od poczęcia. Obie te regulacje pokazują, że w modelu niemieckim wciąż operuje się przesłankami materialnymi typowymi dla systemów przesłankowych, jednak są one wkomponowane w system, który jednocześnie utrzymuje kryminalizację podstawową.</w:t>
      </w:r>
      <w:r>
        <w:t xml:space="preserve"> </w:t>
      </w:r>
      <w:r>
        <w:rPr>
          <w:vertAlign w:val="superscript"/>
        </w:rPr>
        <w:t>4</w:t>
      </w:r>
    </w:p>
    <w:p>
      <w:pPr>
        <w:spacing w:line="360" w:lineRule="auto" w:after="0"/>
        <w:ind w:firstLine="567"/>
        <w:jc w:val="both"/>
      </w:pPr>
      <w:r>
        <w:t>Na tle rozwoju instytucji aborcji szczególną rolę odgrywa sprzężenie regulacji StGB z ramami poradnictwa konfliktowego w SchKG. Ustawodawca, budując procedurę „poradnictwa przedaboryjnego”, instytucjonalizuje etap refleksji i informacji, czyniąc z niego element legalności/niekaralności. W praktyce przesuwa to oś rozstrzygnięcia z sali sądowej do systemu poradnictwa i opieki zdrowotnej, co pozwala jednocześnie realizować politykę ochrony życia prenatalnego oraz minimalizować represję karną.</w:t>
      </w:r>
      <w:r>
        <w:t xml:space="preserve"> </w:t>
      </w:r>
      <w:r>
        <w:rPr>
          <w:vertAlign w:val="superscript"/>
        </w:rPr>
        <w:t>5</w:t>
      </w:r>
      <w:r>
        <w:t>,</w:t>
      </w:r>
      <w:r>
        <w:rPr>
          <w:vertAlign w:val="superscript"/>
        </w:rPr>
        <w:t>17</w:t>
      </w:r>
    </w:p>
    <w:p>
      <w:pPr>
        <w:spacing w:line="360" w:lineRule="auto" w:after="0"/>
        <w:ind w:firstLine="567"/>
        <w:jc w:val="both"/>
      </w:pPr>
      <w:r>
        <w:t>W ujęciu porównawczym model niemiecki bywa określany jako „kompromisowy” nie dlatego, że rezygnuje z ochrony życia prenatalnego, lecz dlatego, że ochronę tę realizuje z wykorzystaniem wielowarstwowych instrumentów: sankcji karnych w typie podstawowym, procedur poradnictwa w mechanizmie niekaralności oraz wskazań medycznych i kryminologicznych w reżimie braku bezprawności. Takie rozłożenie środków prawnych ma konsekwencje dla praktyki: ciężar oceny przesłanek w wielu przypadkach spoczywa na lekarzu i instytucjach poradnictwa, a nie na organach ścigania. Jednocześnie konstrukcja ta pozostaje podatna na napięcia w sytuacjach, gdy czas odgrywa rolę decydującą (limity tygodniowe), co koresponduje z uwagami ETPCz o znaczeniu terminowości procedur.</w:t>
      </w:r>
      <w:r>
        <w:t xml:space="preserve"> </w:t>
      </w:r>
      <w:r>
        <w:rPr>
          <w:vertAlign w:val="superscript"/>
        </w:rPr>
        <w:t>4</w:t>
      </w:r>
      <w:r>
        <w:t>,</w:t>
      </w:r>
      <w:r>
        <w:rPr>
          <w:vertAlign w:val="superscript"/>
        </w:rPr>
        <w:t>12</w:t>
      </w:r>
      <w:r>
        <w:t>,</w:t>
      </w:r>
      <w:r>
        <w:rPr>
          <w:vertAlign w:val="superscript"/>
        </w:rPr>
        <w:t>13</w:t>
      </w:r>
    </w:p>
    <w:p>
      <w:pPr>
        <w:pStyle w:val="Heading2"/>
        <w:spacing w:line="360" w:lineRule="auto" w:after="120"/>
      </w:pPr>
      <w:r>
        <w:t>1.4. Geneza liberalizacji w Holandii</w:t>
      </w:r>
    </w:p>
    <w:p>
      <w:pPr>
        <w:spacing w:line="360" w:lineRule="auto" w:after="0"/>
        <w:ind w:firstLine="567"/>
        <w:jc w:val="both"/>
      </w:pPr>
      <w:r>
        <w:t>Holenderska regulacja WAZ stanowi przykład ujęcia problemu w logice prawa administracyjnego i prawa medycznego: kluczowe są wymogi dotyczące licencjonowania podmiotów, standardów świadczenia i procedur należytej staranności, a nie represji karnej. WAZ kładzie nacisk na to, aby decyzja o przerwaniu ciąży była podejmowana z należytą rozwagą i wykonywana tylko wówczas, gdy „noodsituatie” kobiety czyni ją nieuniknioną, przy jednoczesnym zapewnieniu informacji i wsparcia.</w:t>
      </w:r>
      <w:r>
        <w:t xml:space="preserve"> </w:t>
      </w:r>
      <w:r>
        <w:rPr>
          <w:vertAlign w:val="superscript"/>
        </w:rPr>
        <w:t>6</w:t>
      </w:r>
    </w:p>
    <w:p>
      <w:pPr>
        <w:spacing w:line="360" w:lineRule="auto" w:after="0"/>
        <w:ind w:firstLine="567"/>
        <w:jc w:val="both"/>
      </w:pPr>
      <w:r>
        <w:t>Istotnym elementem ewolucji modelu holenderskiego było zniesienie obligatoryjnej minimalnej beraadtermijn. Zgodnie z ustawą opublikowaną w Stb. 2022, 326 i decyzją o wejściu w życie w Stb. 2022, 377, rozwiązanie to zaczęło obowiązywać od 1 stycznia 2023 r. Zmiana ta wpisuje się w szerszą dyskusję o tym, czy ustawowy minimalny okres „do namysłu” faktycznie służy autonomii decyzji, czy też pełni funkcję bariery dostępu.</w:t>
      </w:r>
      <w:r>
        <w:t xml:space="preserve"> </w:t>
      </w:r>
      <w:r>
        <w:rPr>
          <w:vertAlign w:val="superscript"/>
        </w:rPr>
        <w:t>7</w:t>
      </w:r>
      <w:r>
        <w:t>,</w:t>
      </w:r>
      <w:r>
        <w:rPr>
          <w:vertAlign w:val="superscript"/>
        </w:rPr>
        <w:t>8</w:t>
      </w:r>
    </w:p>
    <w:p>
      <w:pPr>
        <w:spacing w:line="360" w:lineRule="auto" w:after="0"/>
        <w:ind w:firstLine="567"/>
        <w:jc w:val="both"/>
      </w:pPr>
      <w:r>
        <w:t>WAZ posługuje się – obok pojęć stricte medycznych – rozwiązaniami mającymi zapewnić spójność definicyjną i prawną. Ustawa definiuje m.in. „czas trwania ciąży” jako czas wyrażony w dniach lub tygodniach trwania amenorrhoea, a także wyłącza spod pojęcia „przerwania ciąży” zastosowanie środka zapobiegającego zagnieżdżeniu zapłodnionej komórki jajowej. Takie rozróżnienie ma znaczenie dla delimitacji zakresu regulacji i minimalizowania sporów interpretacyjnych na styku antykoncepcji i aborcji.</w:t>
      </w:r>
      <w:r>
        <w:t xml:space="preserve"> </w:t>
      </w:r>
      <w:r>
        <w:rPr>
          <w:vertAlign w:val="superscript"/>
        </w:rPr>
        <w:t>6</w:t>
      </w:r>
      <w:r>
        <w:t>,</w:t>
      </w:r>
      <w:r>
        <w:rPr>
          <w:vertAlign w:val="superscript"/>
        </w:rPr>
        <w:t>10</w:t>
      </w:r>
    </w:p>
    <w:p>
      <w:pPr>
        <w:spacing w:line="360" w:lineRule="auto" w:after="0"/>
        <w:ind w:firstLine="567"/>
        <w:jc w:val="both"/>
      </w:pPr>
      <w:r>
        <w:t>Charakterystyczne dla holenderskiego modelu jest także to, że ustawodawca różnicuje warunki organizacyjne świadczenia w zależności od czasu trwania ciąży. W szczególności przewiduje dodatkowe wymagania dla przerywania ciąży, która trwa dłużej niż 13 tygodni, jeżeli zabieg ma być wykonywany w klinice, a nie w szpitalu – co wiąże się z zaostrzonymi wymogami medycznymi i pielęgniarskimi określanymi w akcie wykonawczym. Rozwiązanie to odzwierciedla medyczno‑organizacyjną logikę regulacji: im bardziej zaawansowana ciąża, tym większe znaczenie mają zasoby i standardy infrastrukturalne podmiotu udzielającego świadczenia.</w:t>
      </w:r>
      <w:r>
        <w:t xml:space="preserve"> </w:t>
      </w:r>
      <w:r>
        <w:rPr>
          <w:vertAlign w:val="superscript"/>
        </w:rPr>
        <w:t>6</w:t>
      </w:r>
    </w:p>
    <w:p>
      <w:pPr>
        <w:spacing w:line="360" w:lineRule="auto" w:after="0"/>
        <w:ind w:firstLine="567"/>
        <w:jc w:val="both"/>
      </w:pPr>
      <w:r>
        <w:t>Ewolucja holenderskich rozwiązań obejmuje również poszerzanie dostępu do farmakologicznego przerywania ciąży w ramach podstawowej opieki zdrowotnej. Ustawa z 16 stycznia 2023 r. (Stb. 2023, 43) stanowi przykład zmiany, która – przy zachowaniu wymogów ustawowych – może zmniejszać bariery geograficzne i organizacyjne, a jednocześnie przenosi część świadczeń do standardowej relacji pacjent‑lekarz rodzinny. Z perspektywy porównawczej jest to istotne, ponieważ pokazuje odmienną filozofię regulacyjną niż w modelach opartych na wyjątkach karnych: kluczowa jest dostępność i bezpieczeństwo procedury w systemie ochrony zdrowia.</w:t>
      </w:r>
      <w:r>
        <w:t xml:space="preserve"> </w:t>
      </w:r>
      <w:r>
        <w:rPr>
          <w:vertAlign w:val="superscript"/>
        </w:rPr>
        <w:t>9</w:t>
      </w:r>
    </w:p>
    <w:p>
      <w:pPr>
        <w:spacing w:line="360" w:lineRule="auto" w:after="0"/>
        <w:ind w:firstLine="567"/>
        <w:jc w:val="both"/>
      </w:pPr>
      <w:r>
        <w:t>Warto zaznaczyć, że holenderski ustawodawca stosunkowo konsekwentnie utrzymuje język „staranności” i „nieuniknioności” decyzji (noodsituatie), co nadaje regulacji charakter hybrydowy: z jednej strony jest to rozwiązanie liberalne w tym sensie, że nie odwołuje się do katalogu przesłanek (np. choroba płodu, przestępstwo), z drugiej – nie jest to czysta „aborcja na żądanie” bez warunków, ponieważ warunkiem wykonania świadczenia ma być ocena sytuacji jako nieuniknionej. W analizie dogmatycznej (Rozdział II) znaczenie będzie miało to, jak ustawowe pojęcia i obowiązki informacyjne są materializowane w praktyce klinicznej oraz jak państwo kontroluje spełnianie standardów przez mechanizmy nadzoru i sprawozdawczości.</w:t>
      </w:r>
      <w:r>
        <w:t xml:space="preserve"> </w:t>
      </w:r>
      <w:r>
        <w:rPr>
          <w:vertAlign w:val="superscript"/>
        </w:rPr>
        <w:t>6</w:t>
      </w:r>
    </w:p>
    <w:p>
      <w:pPr>
        <w:pStyle w:val="Heading2"/>
        <w:spacing w:line="360" w:lineRule="auto" w:after="120"/>
      </w:pPr>
      <w:r>
        <w:t>1.5. Wpływ procesów integracji europejskiej i orzecznictwa strasburskiego (ETPCz) na zmiany w prawie krajowym</w:t>
      </w:r>
    </w:p>
    <w:p>
      <w:pPr>
        <w:spacing w:line="360" w:lineRule="auto" w:after="0"/>
        <w:ind w:firstLine="567"/>
        <w:jc w:val="both"/>
      </w:pPr>
      <w:r>
        <w:t>Choć Unia Europejska nie ustanowiła jednolitego modelu materialnych przesłanek dopuszczalności aborcji, procesy integracji pośrednio oddziałują na prawo krajowe (m.in. przez mobilność pacjentek i transgraniczne korzystanie ze świadczeń). Najbardziej bezpośredni wpływ na kształt procedur wywiera jednak ETPCz, który – obok uznania marginesu oceny – wskazuje na obowiązek państwa zapewnienia spójnych i efektywnych mechanizmów, gdy prawo krajowe dopuszcza przerwanie ciąży.</w:t>
      </w:r>
    </w:p>
    <w:p>
      <w:pPr>
        <w:spacing w:line="360" w:lineRule="auto" w:after="0"/>
        <w:ind w:firstLine="567"/>
        <w:jc w:val="both"/>
      </w:pPr>
      <w:r>
        <w:t>W sprawie A, B i C p. Irlandii Trybunał rozwinął standard dotyczący konieczności zapewnienia skutecznych procedur ustalenia, czy kobieta spełnia przesłanki legalności zabiegu. W sprawach Tysiąc p. Polsce, R.R. p. Polsce oraz P. i S. p. Polsce podkreślono natomiast znaczenie realnej dostępności uprawnienia w praktyce i wymóg eliminowania barier proceduralnych, w tym takich, które wynikają z konfliktu w ocenach medycznych albo z opóźnień.</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W ujęciu systemowym orzecznictwo strasburskie można odczytywać jako „proceduralną harmonizację” minimalnych standardów w zakresie praw pacjentek. Państwa zachowują swobodę w określaniu, czy i kiedy aborcja jest dopuszczalna, ale w granicach tej swobody muszą tworzyć instrumenty prawne, które zapewniają: (1) jasność i przewidywalność kryteriów; (2) dostępność ścieżki decyzyjnej; (3) terminowość i skuteczność rozstrzygnięć; (4) możliwość uzyskania informacji oraz ochronę przed arbitralnością. W tym sensie ETPCz nie „liberalizuje” lub „zaostrza” prawa materialnego, lecz wpływa na architekturę procedur krajowych.</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Przykładowo, w sprawie A, B i C p. Irlandii Trybunał wskazał, że nawet w systemie restrykcyjnym, który dopuszcza aborcję w wąskiej kategorii przypadków (ochrona życia kobiety), państwo powinno zapewnić procedurę pozwalającą w sposób efektywny ustalić, czy dana kobieta mieści się w tej kategorii. W sprawach polskich (Tysiąc; R.R.; P. i S.) problem dotyczył nie tyle samej treści przesłanek, ile braku skutecznych mechanizmów ich egzekwowania: opóźnień, braku jasnej ścieżki odwoławczej oraz barier praktycznych, które w efekcie niweczyły możliwość skorzystania z legalnego zabiegu w odpowiednim czasie.</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Znaczenie ma również aspekt „informacyjny” praw reprodukcyjnych. Sprawa Open Door i Dublin Well Woman p. Irlandii pokazała, że ograniczenia w dostępie do informacji o możliwościach uzyskania aborcji za granicą mogą być oceniane z perspektywy Konwencji. Dla prawnoporównawczej analizy państw UE ma to konsekwencje praktyczne: dywergencja krajowych modeli regulacji prowadzi do zjawisk transgranicznych, a więc spór nie jest już wyłącznie „wewnętrzny”, lecz dotyka także swobody przemieszczania się i dostępu do informacji.</w:t>
      </w:r>
      <w:r>
        <w:t xml:space="preserve"> </w:t>
      </w:r>
      <w:r>
        <w:rPr>
          <w:vertAlign w:val="superscript"/>
        </w:rPr>
        <w:t>16</w:t>
      </w:r>
    </w:p>
    <w:p>
      <w:pPr>
        <w:pStyle w:val="Heading1"/>
        <w:spacing w:line="360" w:lineRule="auto" w:after="120"/>
      </w:pPr>
      <w:r>
        <w:t>Rozdział II. Regulacje prawne aborcji w państwach europejskich</w:t>
      </w:r>
    </w:p>
    <w:p>
      <w:pPr>
        <w:pStyle w:val="Heading2"/>
        <w:spacing w:line="360" w:lineRule="auto" w:after="120"/>
      </w:pPr>
      <w:r>
        <w:t>2.1. Systematyka modeli regulacyjnych w Unii Europejskiej: rozwiązania terminowe, przesłankowe i zakazowe</w:t>
      </w:r>
    </w:p>
    <w:p>
      <w:pPr>
        <w:spacing w:line="360" w:lineRule="auto" w:after="0"/>
        <w:ind w:firstLine="567"/>
        <w:jc w:val="both"/>
      </w:pPr>
      <w:r>
        <w:t>W analizie porównawczej przydatne jest rozróżnienie trzech typów modeli: (1) terminowego, w którym dopuszczalność zależy przede wszystkim od etapu ciąży; (2) przesłankowego, w którym decydują ustawowo określone wskazania; (3) zakazowego, opartego na generalnej penalizacji z wąskimi wyjątkami. W praktyce państwa łączą elementy tych modeli, a różnice między nimi wynikają nie tylko z treści norm materialnych, ale też z procedur i dostępności świadczeń.</w:t>
      </w:r>
      <w:r>
        <w:t xml:space="preserve"> </w:t>
      </w:r>
      <w:r>
        <w:rPr>
          <w:vertAlign w:val="superscript"/>
        </w:rPr>
        <w:t>1</w:t>
      </w:r>
      <w:r>
        <w:t>,</w:t>
      </w:r>
      <w:r>
        <w:rPr>
          <w:vertAlign w:val="superscript"/>
        </w:rPr>
        <w:t>3</w:t>
      </w:r>
      <w:r>
        <w:t>,</w:t>
      </w:r>
      <w:r>
        <w:rPr>
          <w:vertAlign w:val="superscript"/>
        </w:rPr>
        <w:t>4</w:t>
      </w:r>
      <w:r>
        <w:t>,</w:t>
      </w:r>
      <w:r>
        <w:rPr>
          <w:vertAlign w:val="superscript"/>
        </w:rPr>
        <w:t>6</w:t>
      </w:r>
    </w:p>
    <w:p>
      <w:pPr>
        <w:spacing w:line="360" w:lineRule="auto" w:after="0"/>
        <w:ind w:firstLine="567"/>
        <w:jc w:val="both"/>
      </w:pPr>
      <w:r>
        <w:t>Model terminowy najczęściej opiera się na założeniu, że wraz z upływem czasu trwania ciąży wzrasta ciężar ochrony życia prenatalnego i zarazem rośnie ryzyko medyczne zabiegu. W konsekwencji ustawodawca wyznacza granicę czasową (wyrażoną w tygodniach, dniach amenorrhoea lub – w dyskursie prawnym – w odniesieniu do „przeżywalności”), a po jej przekroczeniu zaostrza wymogi albo wprowadza dodatkowe przesłanki. Holenderska WAZ zawiera mechanizmy zróżnicowania wymogów organizacyjnych dla ciąży powyżej 13 tygodni, co jest praktycznym przykładem terminowego „stopniowania” standardów świadczenia.</w:t>
      </w:r>
      <w:r>
        <w:t xml:space="preserve"> </w:t>
      </w:r>
      <w:r>
        <w:rPr>
          <w:vertAlign w:val="superscript"/>
        </w:rPr>
        <w:t>6</w:t>
      </w:r>
    </w:p>
    <w:p>
      <w:pPr>
        <w:spacing w:line="360" w:lineRule="auto" w:after="0"/>
        <w:ind w:firstLine="567"/>
        <w:jc w:val="both"/>
      </w:pPr>
      <w:r>
        <w:t>Model przesłankowy kładzie nacisk na wskazania (np. medyczne, kryminologiczne), przy czym ich konstrukcja może mieć charakter otwarty (odwołanie do zagrożenia życia lub zdrowia) albo zamknięty (wyliczenie kategorii). Niemieckie § 218a ust. 2–3 stanowią przykład przesłankowego uzasadnienia braku bezprawności zabiegu w określonych sytuacjach, przy jednoczesnym zachowaniu ogólnej kryminalizacji w § 218.</w:t>
      </w:r>
      <w:r>
        <w:t xml:space="preserve"> </w:t>
      </w:r>
      <w:r>
        <w:rPr>
          <w:vertAlign w:val="superscript"/>
        </w:rPr>
        <w:t>3</w:t>
      </w:r>
      <w:r>
        <w:t>,</w:t>
      </w:r>
      <w:r>
        <w:rPr>
          <w:vertAlign w:val="superscript"/>
        </w:rPr>
        <w:t>4</w:t>
      </w:r>
    </w:p>
    <w:p>
      <w:pPr>
        <w:spacing w:line="360" w:lineRule="auto" w:after="0"/>
        <w:ind w:firstLine="567"/>
        <w:jc w:val="both"/>
      </w:pPr>
      <w:r>
        <w:t>Model zakazowy opiera się na generalnej penalizacji, a jego „prawdziwy kształt” zależy od tego, czy i jak ustawodawca wyznacza wyjątki. Malta – historycznie kojarzona z pełnym zakazem – wprowadziła w 2023 r. art. 243B Criminal Code jako wyłączenie odpowiedzialności w sytuacjach interwencji medycznej dla ratowania życia i ochrony zdrowia kobiety. Z perspektywy typologii jest to nadal model zakazowy, ale już nie absolutny: wyjątek ratunkowy jest częścią tekstu normatywnego i posiada rozbudowaną procedurę.</w:t>
      </w:r>
      <w:r>
        <w:t xml:space="preserve"> </w:t>
      </w:r>
      <w:r>
        <w:rPr>
          <w:vertAlign w:val="superscript"/>
        </w:rPr>
        <w:t>1</w:t>
      </w:r>
      <w:r>
        <w:t>,</w:t>
      </w:r>
      <w:r>
        <w:rPr>
          <w:vertAlign w:val="superscript"/>
        </w:rPr>
        <w:t>2</w:t>
      </w:r>
    </w:p>
    <w:p>
      <w:pPr>
        <w:spacing w:line="360" w:lineRule="auto" w:after="0"/>
        <w:ind w:firstLine="567"/>
        <w:jc w:val="both"/>
      </w:pPr>
      <w:r>
        <w:t>W kontekście porównawczym kluczowe jest to, że każda z tych technik legislacyjnych generuje inne ryzyka prawne i inne bariery w dostępie do świadczeń. W modelach terminowych spór często dotyczy sposobu liczenia czasu trwania ciąży oraz standardów postępowania w granicznych stanach faktycznych. W modelach przesłankowych problemem bywa „dowodzenie” przesłanki (np. wskazania medycznego) i rozstrzyganie konfliktu opinii. W modelach zakazowych zaś centralne są granice wyjątku oraz efekt mrożący wynikający z odpowiedzialności karnej personelu. Z tych powodów, w Rozdziale II nacisk położono nie tylko na treść przesłanek, lecz także na konstrukcje proceduralne i organizacyjne w analizowanych systemach.</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pStyle w:val="Heading2"/>
        <w:spacing w:line="360" w:lineRule="auto" w:after="120"/>
      </w:pPr>
      <w:r>
        <w:t>2.2. Malta: analiza przepisów Kodeksu Karnego (art. 241–243) oraz zmian z 2023 r. w świetle ochrony życia matki</w:t>
      </w:r>
    </w:p>
    <w:p>
      <w:pPr>
        <w:spacing w:line="360" w:lineRule="auto" w:after="0"/>
        <w:ind w:firstLine="567"/>
        <w:jc w:val="both"/>
      </w:pPr>
      <w:r>
        <w:t>W prawie maltańskim podstawowym instrumentem regulacji jest prawo karne. Art. 241–243 Criminal Code penalizują zarówno sprawstwo osoby trzeciej, jak i zachowanie kobiety ciężarnej, a w przypadku lekarzy dodatkowo wiążą odpowiedzialność z sankcjami zawodowymi. W tej konfiguracji ochrona życia prenatalnego ma charakter dominujący, a ewentualne „bezpieczniki” prawne dla ratowania życia i zdrowia kobiety muszą być wyrażone w sposób jednoznaczny, by ograniczyć ryzyko zaniechania interwencji w warunkach presji odpowiedzialności karnej.</w:t>
      </w:r>
      <w:r>
        <w:t xml:space="preserve"> </w:t>
      </w:r>
      <w:r>
        <w:rPr>
          <w:vertAlign w:val="superscript"/>
        </w:rPr>
        <w:t>1</w:t>
      </w:r>
    </w:p>
    <w:p>
      <w:pPr>
        <w:spacing w:line="360" w:lineRule="auto" w:after="0"/>
        <w:ind w:firstLine="567"/>
        <w:jc w:val="both"/>
      </w:pPr>
      <w:r>
        <w:t>Dodany w 2023 r. art. 243B jest skonstruowany jako wyjątek od odpowiedzialności karnej w odniesieniu do art. 241(2) i 243. Warunki zastosowania wyjątku obejmują zarówno kryterium materialne (cel ratowania życia i ochrony zdrowia kobiety w sytuacji określonego powikłania), jak i rozbudowane kryteria proceduralno‑organizacyjne: w szczególności definicję „medical team”, odniesienie do okresu „viability” oraz wymaganie przeprowadzenia interwencji w licencjonowanym szpitalu.</w:t>
      </w:r>
      <w:r>
        <w:t xml:space="preserve"> </w:t>
      </w:r>
      <w:r>
        <w:rPr>
          <w:vertAlign w:val="superscript"/>
        </w:rPr>
        <w:t>1</w:t>
      </w:r>
      <w:r>
        <w:t>,</w:t>
      </w:r>
      <w:r>
        <w:rPr>
          <w:vertAlign w:val="superscript"/>
        </w:rPr>
        <w:t>2</w:t>
      </w:r>
    </w:p>
    <w:p>
      <w:pPr>
        <w:spacing w:line="360" w:lineRule="auto" w:after="0"/>
        <w:ind w:firstLine="567"/>
        <w:jc w:val="both"/>
      </w:pPr>
      <w:r>
        <w:t>Z punktu widzenia dogmatyki prawa karnego konstrukcja art. 241 Criminal Code ma charakter szeroki. Ust. 1 obejmuje spowodowanie poronienia „by any food, drink, medicine, or by violence, or by any other means whatsoever” – a więc ustawodawca świadomie rezygnuje z kazuistycznego wyliczenia sposobów działania i konstruuje przestępstwo w sposób obejmujący zarówno klasyczne działania sprawcy (przemoc, podanie środka), jak i współczesne techniki farmakologiczne. Z punktu widzenia ochrony dobra prawnego (życia prenatalnego) jest to rozwiązanie maksymalizujące zakres penalizacji, ale równocześnie tworzące szerokie pole niepewności w praktyce klinicznej, zwłaszcza gdy interwencja medyczna może prowadzić do „cessation of a pregnancy” jako skutku ubocznego leczenia ratującego życie kobiety.</w:t>
      </w:r>
      <w:r>
        <w:t xml:space="preserve"> </w:t>
      </w:r>
      <w:r>
        <w:rPr>
          <w:vertAlign w:val="superscript"/>
        </w:rPr>
        <w:t>1</w:t>
      </w:r>
    </w:p>
    <w:p>
      <w:pPr>
        <w:spacing w:line="360" w:lineRule="auto" w:after="0"/>
        <w:ind w:firstLine="567"/>
        <w:jc w:val="both"/>
      </w:pPr>
      <w:r>
        <w:t>Istotne jest także to, że ust. 1 art. 241 penalizuje zachowanie sprawcy niezależnie od zgody kobiety („whether the woman be consenting or not”). W modelu zakazowym zgoda pacjentki nie ma więc funkcji legalizującej, co odróżnia Maltę od modeli, które ujmują przerwanie ciąży jako świadczenie zdrowotne oparte na autonomii decyzji pacjentki. Ust. 2 art. 241 rozszerza penalizację na kobietę: odpowiedzialność dotyczy zarówno „procuring her own miscarriage”, jak i „consented to the use of the means”. W efekcie ustawodawca traktuje kobietę nie tylko jako potencjalną „osobę chronioną” w wymiarze zdrowia, lecz również jako podmiot odpowiedzialności karnej za zachowania związane z przerwaniem ciąży.</w:t>
      </w:r>
      <w:r>
        <w:t xml:space="preserve"> </w:t>
      </w:r>
      <w:r>
        <w:rPr>
          <w:vertAlign w:val="superscript"/>
        </w:rPr>
        <w:t>1</w:t>
      </w:r>
    </w:p>
    <w:p>
      <w:pPr>
        <w:spacing w:line="360" w:lineRule="auto" w:after="0"/>
        <w:ind w:firstLine="567"/>
        <w:jc w:val="both"/>
      </w:pPr>
      <w:r>
        <w:t>Art. 243 wprowadza odrębny reżim wobec zawodów medycznych (m.in. physician, surgeon, obstetrician). Z perspektywy prawa karnego i prawa zawodów medycznych szczególnie doniosłe jest połączenie sankcji karnej (pozbawienia wolności) z sankcją administracyjno‑zawodową w postaci „perpetual interdiction from the exercise of his profession”. W praktyce taka konstrukcja wzmacnia efekt mrożący: ryzyko dla lekarza nie kończy się na odpowiedzialności karnej, lecz obejmuje permanentną utratę możliwości wykonywania zawodu. Tego rodzaju sankcja ma charakter wyjątkowo dolegliwy i – w realiach systemu opieki zdrowotnej – może wpływać na skłonność personelu do podejmowania działań w stanach granicznych.</w:t>
      </w:r>
      <w:r>
        <w:t xml:space="preserve"> </w:t>
      </w:r>
      <w:r>
        <w:rPr>
          <w:vertAlign w:val="superscript"/>
        </w:rPr>
        <w:t>1</w:t>
      </w:r>
    </w:p>
    <w:p>
      <w:pPr>
        <w:spacing w:line="360" w:lineRule="auto" w:after="0"/>
        <w:ind w:firstLine="567"/>
        <w:jc w:val="both"/>
      </w:pPr>
      <w:r>
        <w:t>Na tym tle art. 243B należy traktować jako element „bezpieczeństwa prawnego” personelu medycznego, ale obwarowany warunkami. Przepis operuje dwoma scenariuszami: (a) „immediate risk” dla życia, (b) „grave jeopardy” zdrowia mogące prowadzić do śmierci. W scenariuszu (a) wymaga się, aby – w rozsądnej ocenie lekarza – płód nie osiągnął „period of viability”. W scenariuszu (b) przesłanki są bardziej rozbudowane: wymóg oceny przez „medical team”, wymóg braku możliwości porodu według standardów sztuki oraz wymóg wykonania zabiegu w licencjonowanym szpitalu. Konstrukcja ta pokazuje, że ustawodawca maltański wprowadza wyjątek ratunkowy nie jako „furtkę” do liberalizacji, lecz jako procedurę ściśle kontrolowaną i zorientowaną na minimalizację przypadków, w których dojdzie do zakończenia ciąży.</w:t>
      </w:r>
      <w:r>
        <w:t xml:space="preserve"> </w:t>
      </w:r>
      <w:r>
        <w:rPr>
          <w:vertAlign w:val="superscript"/>
        </w:rPr>
        <w:t>1</w:t>
      </w:r>
    </w:p>
    <w:p>
      <w:pPr>
        <w:spacing w:line="360" w:lineRule="auto" w:after="0"/>
        <w:ind w:firstLine="567"/>
        <w:jc w:val="both"/>
      </w:pPr>
      <w:r>
        <w:t>W konsekwencji, w modelu maltańskim realna granica dopuszczalności interwencji ratującej życie zależy od interpretacji pojęć otwartych („grave jeopardy”, „period of viability”, „current medical practices”) oraz od dostępności zasobów organizacyjnych (zespół specjalistów, licencjonowany szpital). Z perspektywy standardów ETPCz może to rodzić pytanie o efektywność procedury w praktyce w przypadkach nagłych, gdzie czas działania jest krytyczny. Nie przesądza to jednak automatycznie o niezgodności z Konwencją, ponieważ margines oceny w zakresie materialnych przesłanek jest szeroki; ocenie podlegają raczej mechanizmy proceduralne i praktyczna możliwość skorzystania z wyjątku ratunkowego w sytuacji, gdy prawo krajowe go przewiduje.</w:t>
      </w:r>
      <w:r>
        <w:t xml:space="preserve"> </w:t>
      </w:r>
      <w:r>
        <w:rPr>
          <w:vertAlign w:val="superscript"/>
        </w:rPr>
        <w:t>12</w:t>
      </w:r>
    </w:p>
    <w:p>
      <w:pPr>
        <w:pStyle w:val="Heading2"/>
        <w:spacing w:line="360" w:lineRule="auto" w:after="120"/>
      </w:pPr>
      <w:r>
        <w:t>2.3. Niemcy: konstrukcja „bezprawności niepodlegającej karze” i system obowiązkowego poradnictwa</w:t>
      </w:r>
    </w:p>
    <w:p>
      <w:pPr>
        <w:spacing w:line="360" w:lineRule="auto" w:after="0"/>
        <w:ind w:firstLine="567"/>
        <w:jc w:val="both"/>
      </w:pPr>
      <w:r>
        <w:t>Konstrukcja niemiecka opiera się na tym, że przerwanie ciąży stanowi co do zasady czyn zabroniony (§ 218 StGB), ale ustawodawca przewidział mechanizmy wyłączające realizację znamion czynu lub bezprawność, a także szczególne zasady odpowiedzialności samej kobiety. W dogmatyce istotne jest, że § 218 różnicuje sankcje w zależności od sprawcy i okoliczności (typ podstawowy, typ kwalifikowany oraz odpowiedzialność kobiety).</w:t>
      </w:r>
      <w:r>
        <w:t xml:space="preserve"> </w:t>
      </w:r>
      <w:r>
        <w:rPr>
          <w:vertAlign w:val="superscript"/>
        </w:rPr>
        <w:t>3</w:t>
      </w:r>
    </w:p>
    <w:p>
      <w:pPr>
        <w:spacing w:line="360" w:lineRule="auto" w:after="0"/>
        <w:ind w:firstLine="567"/>
        <w:jc w:val="both"/>
      </w:pPr>
      <w:r>
        <w:t>Jednocześnie § 218a przewiduje wielotorowy model dopuszczalności/niekaralności. W ust. 1 centralne znaczenie ma poradnictwo i trzydniowy „odstęp” czasowy przed zabiegiem, a także limit 12 tygodni od poczęcia. W ust. 2–3 mowa o wskazaniach, które skutkują brakiem bezprawności (w tym wskazaniu medycznym i przestępstwach seksualnych). Systemowo przepisy te są sprzężone z instytucjonalnymi ramami poradnictwa (SchKG).</w:t>
      </w:r>
      <w:r>
        <w:t xml:space="preserve"> </w:t>
      </w:r>
      <w:r>
        <w:rPr>
          <w:vertAlign w:val="superscript"/>
        </w:rPr>
        <w:t>4</w:t>
      </w:r>
      <w:r>
        <w:t>,</w:t>
      </w:r>
      <w:r>
        <w:rPr>
          <w:vertAlign w:val="superscript"/>
        </w:rPr>
        <w:t>5</w:t>
      </w:r>
      <w:r>
        <w:t>,</w:t>
      </w:r>
      <w:r>
        <w:rPr>
          <w:vertAlign w:val="superscript"/>
        </w:rPr>
        <w:t>17</w:t>
      </w:r>
    </w:p>
    <w:p>
      <w:pPr>
        <w:spacing w:line="360" w:lineRule="auto" w:after="0"/>
        <w:ind w:firstLine="567"/>
        <w:jc w:val="both"/>
      </w:pPr>
      <w:r>
        <w:t>Z perspektywy konstrukcji normy karnej warto podkreślić, że § 218 StGB zawiera także definicyjne doprecyzowanie, iż działania, których skutek następuje przed zakończeniem zagnieżdżenia zapłodnionej komórki jajowej w macicy, nie są traktowane jako „Schwangerschaftsabbruch” w rozumieniu ustawy. Jest to legislacyjny sposób delimitacji między antykoncepcją postkoitalną a aborcją w sensie prawnokarnym, zbliżony funkcjonalnie do rozwiązań spotykanych w prawie holenderskim (wyłączenie środków zapobiegających implantacji).</w:t>
      </w:r>
      <w:r>
        <w:t xml:space="preserve"> </w:t>
      </w:r>
      <w:r>
        <w:rPr>
          <w:vertAlign w:val="superscript"/>
        </w:rPr>
        <w:t>3</w:t>
      </w:r>
      <w:r>
        <w:t>,</w:t>
      </w:r>
      <w:r>
        <w:rPr>
          <w:vertAlign w:val="superscript"/>
        </w:rPr>
        <w:t>6</w:t>
      </w:r>
    </w:p>
    <w:p>
      <w:pPr>
        <w:spacing w:line="360" w:lineRule="auto" w:after="0"/>
        <w:ind w:firstLine="567"/>
        <w:jc w:val="both"/>
      </w:pPr>
      <w:r>
        <w:t>Mechanizm § 218a ust. 1 jest przykładem proceduralizacji „niekaralności” (a w języku przepisu – wyłączenia realizacji znamion). Ustawodawca uzależnia skutek prawny od spełnienia warunków, które mają realizować określone cele polityki publicznej: (1) poradnictwo i czas „na namysł” (minimum trzy dni), (2) wykonanie przez lekarza, (3) limit 12 tygodni od poczęcia. Konstrukcja zaświadczenia poradniczego (odwołanie do § 219) i wymóg minimalnego odstępu czasowego wskazują, że ustawodawca traktuje etap poradnictwa jako instrument ochrony życia prenatalnego i wsparcia kobiety, a nie wyłącznie jako formalność.</w:t>
      </w:r>
      <w:r>
        <w:t xml:space="preserve"> </w:t>
      </w:r>
      <w:r>
        <w:rPr>
          <w:vertAlign w:val="superscript"/>
        </w:rPr>
        <w:t>4</w:t>
      </w:r>
      <w:r>
        <w:t>,</w:t>
      </w:r>
      <w:r>
        <w:rPr>
          <w:vertAlign w:val="superscript"/>
        </w:rPr>
        <w:t>5</w:t>
      </w:r>
      <w:r>
        <w:t>,</w:t>
      </w:r>
      <w:r>
        <w:rPr>
          <w:vertAlign w:val="superscript"/>
        </w:rPr>
        <w:t>17</w:t>
      </w:r>
    </w:p>
    <w:p>
      <w:pPr>
        <w:spacing w:line="360" w:lineRule="auto" w:after="0"/>
        <w:ind w:firstLine="567"/>
        <w:jc w:val="both"/>
      </w:pPr>
      <w:r>
        <w:t>W § 218a ust. 2 i 3 ustawodawca odchodzi od logiki „odstępu czasowego” na rzecz wskazań materialnych. Wskazanie medyczne (ust. 2) jest powiązane z koniecznością odwrócenia zagrożenia życia albo ciężkiego uszczerbku na zdrowiu fizycznym lub psychicznym kobiety, a także z wymogiem braku alternatywy możliwej do przyjęcia. Wskazanie kryminologiczne (ust. 3) odwołuje się do popełnienia przestępstwa seksualnego i do prawdopodobieństwa związku ciąży z czynem, przy zachowaniu limitu 12 tygodni. W praktyce konstrukcje te pokazują, że nawet w „kompromisowym” modelu niemieckim ustawodawca zachowuje elementy typowe dla systemów przesłankowych, ale wkomponowuje je w system prawa karnego i konstytucyjnego obowiązku ochronnego.</w:t>
      </w:r>
      <w:r>
        <w:t xml:space="preserve"> </w:t>
      </w:r>
      <w:r>
        <w:rPr>
          <w:vertAlign w:val="superscript"/>
        </w:rPr>
        <w:t>4</w:t>
      </w:r>
      <w:r>
        <w:t>,</w:t>
      </w:r>
      <w:r>
        <w:rPr>
          <w:vertAlign w:val="superscript"/>
        </w:rPr>
        <w:t>17</w:t>
      </w:r>
    </w:p>
    <w:p>
      <w:pPr>
        <w:spacing w:line="360" w:lineRule="auto" w:after="0"/>
        <w:ind w:firstLine="567"/>
        <w:jc w:val="both"/>
      </w:pPr>
      <w:r>
        <w:t>System poradnictwa konfliktowego (SchKG) stanowi natomiast ramę instytucjonalną realizacji wymogów z § 218a. SchKG reguluje m.in. organizację poradnictwa, zasady działania placówek oraz wydawania zaświadczeń. Z perspektywy efektywności systemu kluczowe jest, że poradnictwo ma być dostępne, a procedura wydania zaświadczenia – sprawna, ponieważ limity tygodniowe w prawie karnym powodują, że opóźnienia mogą prowadzić do utraty możliwości skorzystania z legalnego modelu. W tym sensie niemieckie rozwiązania korespondują z akcentem ETPCz na terminowość procedur w sprawach z obszaru praw reprodukcyjnych.</w:t>
      </w:r>
      <w:r>
        <w:t xml:space="preserve"> </w:t>
      </w:r>
      <w:r>
        <w:rPr>
          <w:vertAlign w:val="superscript"/>
        </w:rPr>
        <w:t>5</w:t>
      </w:r>
      <w:r>
        <w:t>,</w:t>
      </w:r>
      <w:r>
        <w:rPr>
          <w:vertAlign w:val="superscript"/>
        </w:rPr>
        <w:t>12</w:t>
      </w:r>
      <w:r>
        <w:t>,</w:t>
      </w:r>
      <w:r>
        <w:rPr>
          <w:vertAlign w:val="superscript"/>
        </w:rPr>
        <w:t>13</w:t>
      </w:r>
    </w:p>
    <w:p>
      <w:pPr>
        <w:spacing w:line="360" w:lineRule="auto" w:after="0"/>
        <w:ind w:firstLine="567"/>
        <w:jc w:val="both"/>
      </w:pPr>
      <w:r>
        <w:t>Wreszcie, w tle dogmatyki StGB i SchKG pozostaje konstytucyjna rama wyznaczana przez BVerfG. Orzecznictwo Trybunału Konstytucyjnego traktuje ochronę życia prenatalnego jako obowiązek ochronny państwa (Schutzpflicht) i analizuje dopuszczalność środków, którymi państwo tę ochronę realizuje. Dla modelu niemieckiego kluczowe jest to, że instrumenty ochronne nie muszą ograniczać się do sankcji karnych: państwo może realizować obowiązek ochrony poprzez poradnictwo, wsparcie socjalne i rozwiązania instytucjonalne. Teza ta tłumaczy, dlaczego ustawodawca utrzymuje kryminalizację w § 218, a zarazem w szerokim zakresie rezygnuje z represji karnej po spełnieniu przesłanek proceduralnych.</w:t>
      </w:r>
      <w:r>
        <w:t xml:space="preserve"> </w:t>
      </w:r>
      <w:r>
        <w:rPr>
          <w:vertAlign w:val="superscript"/>
        </w:rPr>
        <w:t>17</w:t>
      </w:r>
    </w:p>
    <w:p>
      <w:pPr>
        <w:pStyle w:val="Heading2"/>
        <w:spacing w:line="360" w:lineRule="auto" w:after="120"/>
      </w:pPr>
      <w:r>
        <w:t>2.4. Holandia: prawne ramy aborcji oraz zniesienie obligatoryjnego okresu oczekiwania (od 2023)</w:t>
      </w:r>
    </w:p>
    <w:p>
      <w:pPr>
        <w:spacing w:line="360" w:lineRule="auto" w:after="0"/>
        <w:ind w:firstLine="567"/>
        <w:jc w:val="both"/>
      </w:pPr>
      <w:r>
        <w:t>W holenderskiej WAZ normy materialne są powiązane z mechanizmami organizacji świadczeń: licencjonowaniem podmiotów, nadzorem oraz obowiązkami sprawozdawczymi. Ustawa posługuje się pojęciem „noodsituatie” oraz kładzie nacisk na staranność w podejmowaniu decyzji. Jednocześnie różnicuje warunki wykonywania zabiegów w zależności od czasu trwania ciąży, w szczególności wprowadza dodatkowe wymagania dla przerywania ciąży dłuższej niż 13 tygodni w klinice, z odesłaniem do wymogów określanych w akcie wykonawczym.</w:t>
      </w:r>
      <w:r>
        <w:t xml:space="preserve"> </w:t>
      </w:r>
      <w:r>
        <w:rPr>
          <w:vertAlign w:val="superscript"/>
        </w:rPr>
        <w:t>6</w:t>
      </w:r>
    </w:p>
    <w:p>
      <w:pPr>
        <w:spacing w:line="360" w:lineRule="auto" w:after="0"/>
        <w:ind w:firstLine="567"/>
        <w:jc w:val="both"/>
      </w:pPr>
      <w:r>
        <w:t>Zniesienie obowiązkowej minimalnej beraadtermijn wynika z ustawy opublikowanej w Stb. 2022, 326 oraz jej wejścia w życie z dniem 1 stycznia 2023 r. na podstawie Stb. 2022, 377. W ujęciu dogmatycznym zmiana ta przesuwa akcent z formalnego, „sztywnego” wymogu czasowego na ocenę staranności i autonomii w konkretnych okolicznościach.</w:t>
      </w:r>
      <w:r>
        <w:t xml:space="preserve"> </w:t>
      </w:r>
      <w:r>
        <w:rPr>
          <w:vertAlign w:val="superscript"/>
        </w:rPr>
        <w:t>7</w:t>
      </w:r>
      <w:r>
        <w:t>,</w:t>
      </w:r>
      <w:r>
        <w:rPr>
          <w:vertAlign w:val="superscript"/>
        </w:rPr>
        <w:t>8</w:t>
      </w:r>
    </w:p>
    <w:p>
      <w:pPr>
        <w:spacing w:line="360" w:lineRule="auto" w:after="0"/>
        <w:ind w:firstLine="567"/>
        <w:jc w:val="both"/>
      </w:pPr>
      <w:r>
        <w:t>W holenderskiej WAZ szczególne znaczenie ma powiązanie przesłanki „noodsituatie” z obowiązkami informacyjnymi i konsultacyjnymi. Ustawodawca deklaratywnie wskazuje, że wymogi ustawy mają zapewnić, iż decyzja o przerwaniu ciąży jest podejmowana z należytą starannością i wykonywana tylko wtedy, gdy sytuacja kobiety czyni ją nieuniknioną. W praktyce prawniczej istotne jest pytanie, czy „noodsituatie” ma charakter przesłanki prawnej podlegającej kontroli, czy raczej pełni funkcję standardu etyczno‑medycznego realizowanego przez lekarza w relacji z pacjentką. Holenderski model – w przeciwieństwie do modelu przesłankowego – nie opiera się na katalogu przyczyn, lecz na ocenie sytuacji kobiety w kontekście opieki medycznej.</w:t>
      </w:r>
      <w:r>
        <w:t xml:space="preserve"> </w:t>
      </w:r>
      <w:r>
        <w:rPr>
          <w:vertAlign w:val="superscript"/>
        </w:rPr>
        <w:t>6</w:t>
      </w:r>
    </w:p>
    <w:p>
      <w:pPr>
        <w:spacing w:line="360" w:lineRule="auto" w:after="0"/>
        <w:ind w:firstLine="567"/>
        <w:jc w:val="both"/>
      </w:pPr>
      <w:r>
        <w:t>Ustawa buduje także aparat definicyjny, który porządkuje obszar regulacji. Zdefiniowanie „czasu trwania ciąży” przez odniesienie do liczby dni lub tygodni trwania amenorrhoea ma znaczenie praktyczne, ponieważ od metody liczenia zależą konsekwencje prawne i organizacyjne (np. konieczność spełnienia dodatkowych wymogów). Z kolei wyłączenie spod pojęcia „przerwania ciąży” zastosowania środka zapobiegającego implantacji rozwiązuje potencjalny spór interpretacyjny o kwalifikację prawno‑medyczną metod postkoitalnych.</w:t>
      </w:r>
      <w:r>
        <w:t xml:space="preserve"> </w:t>
      </w:r>
      <w:r>
        <w:rPr>
          <w:vertAlign w:val="superscript"/>
        </w:rPr>
        <w:t>6</w:t>
      </w:r>
      <w:r>
        <w:t>,</w:t>
      </w:r>
      <w:r>
        <w:rPr>
          <w:vertAlign w:val="superscript"/>
        </w:rPr>
        <w:t>10</w:t>
      </w:r>
    </w:p>
    <w:p>
      <w:pPr>
        <w:spacing w:line="360" w:lineRule="auto" w:after="0"/>
        <w:ind w:firstLine="567"/>
        <w:jc w:val="both"/>
      </w:pPr>
      <w:r>
        <w:t>Holenderskie rozwiązania akcentują również elementy nadzoru i sprawozdawczości, w tym rolę funkcji „geneesheer‑directeur” oraz wymogi przechowywania danych przez określony czas (w praktyce m.in. w celu kontroli i monitoringu). W porównaniu z modelem niemieckim, w którym centralne są poradnictwo i zaświadczenie, model holenderski lokuje mechanizmy kontroli w strukturach organizacyjnych podmiotów wykonujących świadczenia i w nadzorze administracyjnym.</w:t>
      </w:r>
      <w:r>
        <w:t xml:space="preserve"> </w:t>
      </w:r>
      <w:r>
        <w:rPr>
          <w:vertAlign w:val="superscript"/>
        </w:rPr>
        <w:t>6</w:t>
      </w:r>
    </w:p>
    <w:p>
      <w:pPr>
        <w:spacing w:line="360" w:lineRule="auto" w:after="0"/>
        <w:ind w:firstLine="567"/>
        <w:jc w:val="both"/>
      </w:pPr>
      <w:r>
        <w:t>Zniesienie obowiązkowej minimalnej beraadtermijn (Stb. 2022, 326; wejście w życie 1.01.2023 – Stb. 2022, 377) ma znaczenie także z perspektywy prawnoporównawczej, ponieważ pozwala uchwycić różnice pomiędzy „czasem jako instrumentem ochrony życia prenatalnego” (Niemcy – trzydniowy odstęp w procedurze poradnictwa) a „czasem jako potencjalną barierą dostępu” (Holandia – rezygnacja z ustawowego minimum na rzecz elastyczności). Różnica ta nie przesądza o bardziej lub mniej „liberalnym” ujęciu aksjologicznym, lecz pokazuje odmienne przekonania ustawodawcy co do tego, jak prawnie wspierać autonomię decyzji i bezpieczeństwo świadczenia.</w:t>
      </w:r>
      <w:r>
        <w:t xml:space="preserve"> </w:t>
      </w:r>
      <w:r>
        <w:rPr>
          <w:vertAlign w:val="superscript"/>
        </w:rPr>
        <w:t>4</w:t>
      </w:r>
      <w:r>
        <w:t>,</w:t>
      </w:r>
      <w:r>
        <w:rPr>
          <w:vertAlign w:val="superscript"/>
        </w:rPr>
        <w:t>7</w:t>
      </w:r>
      <w:r>
        <w:t>,</w:t>
      </w:r>
      <w:r>
        <w:rPr>
          <w:vertAlign w:val="superscript"/>
        </w:rPr>
        <w:t>8</w:t>
      </w:r>
    </w:p>
    <w:p>
      <w:pPr>
        <w:spacing w:line="360" w:lineRule="auto" w:after="0"/>
        <w:ind w:firstLine="567"/>
        <w:jc w:val="both"/>
      </w:pPr>
      <w:r>
        <w:t>Dodatkowym elementem modernizacji regulacji jest dopuszczenie legalnej farmakologicznej aborcji poprzez lekarza rodzinnego (Stb. 2023, 43). Z perspektywy dostępności świadczeń rozwiązanie to może redukować bariery geograficzne i organizacyjne, a jednocześnie wzmacniać rolę standardowej relacji pacjent‑lekarz w podstawowej opiece zdrowotnej. Z perspektywy prawa medycznego i organizacji ochrony zdrowia stanowi to przykład poszerzania kanałów dostępu przy utrzymaniu wymogów staranności i nadzoru.</w:t>
      </w:r>
      <w:r>
        <w:t xml:space="preserve"> </w:t>
      </w:r>
      <w:r>
        <w:rPr>
          <w:vertAlign w:val="superscript"/>
        </w:rPr>
        <w:t>9</w:t>
      </w:r>
    </w:p>
    <w:p>
      <w:pPr>
        <w:pStyle w:val="Heading2"/>
        <w:spacing w:line="360" w:lineRule="auto" w:after="120"/>
      </w:pPr>
      <w:r>
        <w:t>2.5. Status prawny klauzuli sumienia i jej wpływ na dostępność świadczeń w wybranych jurysdykcjach</w:t>
      </w:r>
    </w:p>
    <w:p>
      <w:pPr>
        <w:spacing w:line="360" w:lineRule="auto" w:after="0"/>
        <w:ind w:firstLine="567"/>
        <w:jc w:val="both"/>
      </w:pPr>
      <w:r>
        <w:t>Klauzula sumienia w obszarze świadczeń związanych z przerywaniem ciąży stanowi punkt styku wolności sumienia personelu medycznego z obowiązkiem państwa zapewnienia realnej dostępności legalnych świadczeń. Z perspektywy standardów strasburskich kluczowe jest rozróżnienie pomiędzy indywidualnym prawem sprzeciwu a systemowym obowiązkiem państwa: jeżeli prawo krajowe przewiduje możliwość legalnego przerwania ciąży w określonych sytuacjach, to państwo powinno zorganizować procedury i ścieżki decyzyjne tak, by uprawnienie nie było iluzoryczne.</w:t>
      </w:r>
      <w:r>
        <w:t xml:space="preserve"> </w:t>
      </w:r>
      <w:r>
        <w:rPr>
          <w:vertAlign w:val="superscript"/>
        </w:rPr>
        <w:t>12</w:t>
      </w:r>
      <w:r>
        <w:t>,</w:t>
      </w:r>
      <w:r>
        <w:rPr>
          <w:vertAlign w:val="superscript"/>
        </w:rPr>
        <w:t>13</w:t>
      </w:r>
      <w:r>
        <w:t>,</w:t>
      </w:r>
      <w:r>
        <w:rPr>
          <w:vertAlign w:val="superscript"/>
        </w:rPr>
        <w:t>14</w:t>
      </w:r>
      <w:r>
        <w:t>,</w:t>
      </w:r>
      <w:r>
        <w:rPr>
          <w:vertAlign w:val="superscript"/>
        </w:rPr>
        <w:t>15</w:t>
      </w:r>
    </w:p>
    <w:p>
      <w:pPr>
        <w:spacing w:line="360" w:lineRule="auto" w:after="0"/>
        <w:ind w:firstLine="567"/>
        <w:jc w:val="both"/>
      </w:pPr>
      <w:r>
        <w:t>W analizowanych modelach problem klauzuli sumienia ma różne znaczenie praktyczne. W modelu maltańskim, w którym aborcja jest co do zasady penalizowana, przestrzeń dla konfliktu sumienia w sensie „odmowy wykonania legalnego świadczenia” jest ograniczona, ponieważ legalny zakres interwencji jest bardzo wąski i dotyczy stanów ratunkowych (art. 243B). Paradoksalnie jednak właśnie w modelu zakazowym odmowa lub opóźnienie może rodzić największe ryzyko dla życia pacjentki, ponieważ dotyczy sytuacji nagłych. W tych przypadkach ciężar sporu nie dotyczy „światopoglądu” jako takiego, lecz odpowiedzialności karnej i strachu przed jej poniesieniem.</w:t>
      </w:r>
      <w:r>
        <w:t xml:space="preserve"> </w:t>
      </w:r>
      <w:r>
        <w:rPr>
          <w:vertAlign w:val="superscript"/>
        </w:rPr>
        <w:t>1</w:t>
      </w:r>
    </w:p>
    <w:p>
      <w:pPr>
        <w:spacing w:line="360" w:lineRule="auto" w:after="0"/>
        <w:ind w:firstLine="567"/>
        <w:jc w:val="both"/>
      </w:pPr>
      <w:r>
        <w:t>W modelach, które dopuszczają przerwanie ciąży w szerszym zakresie (Niemcy, Holandia), klauzula sumienia staje się zagadnieniem organizacji świadczeń: system może uznawać indywidualny sprzeciw personelu, ale musi przeciwdziałać temu, aby sprzeciw prowadził do powstania „białych plam” w dostępie do świadczeń. W tym sensie problem ma charakter strukturalny: nie sprowadza się do relacji dwóch osób (lekarz‑pacjentka), lecz do obowiązków państwa wobec całej populacji. Z tego powodu w dyskusji prawnej akcentuje się potrzebę jasnych procedur, sprawnego przekierowania pacjentki oraz zapewnienia instytucjonalnych gwarancji terminowości.</w:t>
      </w:r>
      <w:r>
        <w:t xml:space="preserve"> </w:t>
      </w:r>
      <w:r>
        <w:rPr>
          <w:vertAlign w:val="superscript"/>
        </w:rPr>
        <w:t>12</w:t>
      </w:r>
      <w:r>
        <w:t>,</w:t>
      </w:r>
      <w:r>
        <w:rPr>
          <w:vertAlign w:val="superscript"/>
        </w:rPr>
        <w:t>13</w:t>
      </w:r>
    </w:p>
    <w:p>
      <w:pPr>
        <w:spacing w:line="360" w:lineRule="auto" w:after="0"/>
        <w:ind w:firstLine="567"/>
        <w:jc w:val="both"/>
      </w:pPr>
      <w:r>
        <w:t>Standardy ETPCz, choć nie formułują „prawa do aborcji” jako takiego, wymagają, aby legalne uprawnienia były realne. W sprawach Tysiąc p. Polsce oraz R.R. p. Polsce centralny problem dotyczył braku skutecznej procedury rozstrzygnięcia sporu medycznego oraz opóźnień, które prowadziły do utraty możliwości skorzystania z legalnego świadczenia. W sprawie P. i S. p. Polsce istotne były również bariery praktyczne i organizacyjne. Tezy te mają zastosowanie także w sytuacjach, w których bariera wynika z odmowy świadczenia: jeżeli odmowa (z jakiejkolwiek przyczyny) prowadzi do braku realnej ścieżki uzyskania legalnej procedury w odpowiednim czasie, państwo naraża się na zarzut naruszenia Konwencji w wymiarze proceduralnym.</w:t>
      </w:r>
      <w:r>
        <w:t xml:space="preserve"> </w:t>
      </w:r>
      <w:r>
        <w:rPr>
          <w:vertAlign w:val="superscript"/>
        </w:rPr>
        <w:t>13</w:t>
      </w:r>
      <w:r>
        <w:t>,</w:t>
      </w:r>
      <w:r>
        <w:rPr>
          <w:vertAlign w:val="superscript"/>
        </w:rPr>
        <w:t>14</w:t>
      </w:r>
      <w:r>
        <w:t>,</w:t>
      </w:r>
      <w:r>
        <w:rPr>
          <w:vertAlign w:val="superscript"/>
        </w:rPr>
        <w:t>15</w:t>
      </w:r>
    </w:p>
    <w:p>
      <w:pPr>
        <w:spacing w:line="360" w:lineRule="auto" w:after="0"/>
        <w:ind w:firstLine="567"/>
        <w:jc w:val="both"/>
      </w:pPr>
      <w:r>
        <w:t>W dyskusji europejskiej istotne znaczenie ma stanowisko Zgromadzenia Parlamentarnego Rady Europy w Rezolucji 1763 (2010), która ujmuje „prawo do sprzeciwu sumienia” w legalnej opiece medycznej jako element wolności sumienia, ale równocześnie akcentuje potrzebę zapewnienia pacjentom dostępu do legalnych świadczeń. Choć rezolucja nie jest źródłem prawa powszechnie obowiązującego, stanowi punkt odniesienia w analizie aksjologicznej i instytucjonalnej: pokazuje napięcie pomiędzy ochroną sumienia personelu a obowiązkiem państwa organizacji systemu tak, aby prawa pacjentów nie były pozorne.</w:t>
      </w:r>
      <w:r>
        <w:t xml:space="preserve"> </w:t>
      </w:r>
      <w:r>
        <w:rPr>
          <w:vertAlign w:val="superscript"/>
        </w:rPr>
        <w:t>18</w:t>
      </w:r>
    </w:p>
    <w:p>
      <w:pPr>
        <w:spacing w:line="360" w:lineRule="auto" w:after="0"/>
        <w:ind w:firstLine="567"/>
        <w:jc w:val="both"/>
      </w:pPr>
      <w:r>
        <w:t>W ujęciu porównawczym można zatem sformułować tezę, że klauzula sumienia jest „zmienną” oddziałującą na dostępność świadczeń tylko wówczas, gdy prawo materialne dopuszcza aborcję. Tam, gdzie ustawodawca przyjmuje model zakazowy, problemem jest przede wszystkim jasność wyjątku ratunkowego i ochrona personelu podejmującego interwencję ratującą życie. Tam zaś, gdzie ustawodawca tworzy procedury dopuszczalności lub niekaralności, problemem staje się zaprojektowanie takich rozwiązań, które przy jednoczesnym poszanowaniu sumienia personelu zapewnią terminowość, przewidywalność i ciągłość świadczeń – a więc wartości podkreślane w standardach strasburskich.</w:t>
      </w:r>
      <w:r>
        <w:t xml:space="preserve"> </w:t>
      </w:r>
      <w:r>
        <w:rPr>
          <w:vertAlign w:val="superscript"/>
        </w:rPr>
        <w:t>1</w:t>
      </w:r>
      <w:r>
        <w:t>,</w:t>
      </w:r>
      <w:r>
        <w:rPr>
          <w:vertAlign w:val="superscript"/>
        </w:rPr>
        <w:t>4</w:t>
      </w:r>
      <w:r>
        <w:t>,</w:t>
      </w:r>
      <w:r>
        <w:rPr>
          <w:vertAlign w:val="superscript"/>
        </w:rPr>
        <w:t>6</w:t>
      </w:r>
      <w:r>
        <w:t>,</w:t>
      </w:r>
      <w:r>
        <w:rPr>
          <w:vertAlign w:val="superscript"/>
        </w:rPr>
        <w:t>12</w:t>
      </w:r>
    </w:p>
    <w:p>
      <w:r>
        <w:br w:type="page"/>
      </w:r>
    </w:p>
    <w:p>
      <w:pPr>
        <w:pStyle w:val="Heading1"/>
        <w:spacing w:line="360" w:lineRule="auto" w:after="120"/>
      </w:pPr>
      <w:r>
        <w:t>Przypisy</w:t>
      </w:r>
    </w:p>
    <w:p>
      <w:pPr>
        <w:spacing w:line="288" w:lineRule="auto"/>
      </w:pPr>
      <w:r>
        <w:rPr>
          <w:b/>
        </w:rPr>
        <w:t xml:space="preserve">1. </w:t>
      </w:r>
      <w:r>
        <w:t>Malta, Criminal Code (Chapter 9), wersja skonsolidowana (PDF) – Legislation Malta. Dostęp: 25.12.2025, https://legislation.mt/eli/cap/9/eng/pdf</w:t>
      </w:r>
    </w:p>
    <w:p>
      <w:pPr>
        <w:spacing w:line="288" w:lineRule="auto"/>
      </w:pPr>
      <w:r>
        <w:rPr>
          <w:b/>
        </w:rPr>
        <w:t xml:space="preserve">2. </w:t>
      </w:r>
      <w:r>
        <w:t>Malta, Act No. XXII of 2023 (amendment) – Legislation Malta (ELI). Dostęp: 25.12.2025, https://legislation.mt/eli/act/2023/22/eng</w:t>
      </w:r>
    </w:p>
    <w:p>
      <w:pPr>
        <w:spacing w:line="288" w:lineRule="auto"/>
      </w:pPr>
      <w:r>
        <w:rPr>
          <w:b/>
        </w:rPr>
        <w:t xml:space="preserve">3. </w:t>
      </w:r>
      <w:r>
        <w:t>Germany, Strafgesetzbuch (StGB) § 218 – dejure.org (źródło pomocnicze; zalecana weryfikacja w źródle urzędowym). Dostęp: 25.12.2025, https://dejure.org/gesetze/StGB/218.html</w:t>
      </w:r>
    </w:p>
    <w:p>
      <w:pPr>
        <w:spacing w:line="288" w:lineRule="auto"/>
      </w:pPr>
      <w:r>
        <w:rPr>
          <w:b/>
        </w:rPr>
        <w:t xml:space="preserve">4. </w:t>
      </w:r>
      <w:r>
        <w:t>Germany, Strafgesetzbuch (StGB) § 218a – dejure.org (źródło pomocnicze; zalecana weryfikacja w źródle urzędowym). Dostęp: 25.12.2025, https://dejure.org/gesetze/StGB/218a.html</w:t>
      </w:r>
    </w:p>
    <w:p>
      <w:pPr>
        <w:spacing w:line="288" w:lineRule="auto"/>
      </w:pPr>
      <w:r>
        <w:rPr>
          <w:b/>
        </w:rPr>
        <w:t xml:space="preserve">5. </w:t>
      </w:r>
      <w:r>
        <w:t>Germany, Schwangerschaftskonfliktgesetz (SchKG) – dejure.org (źródło pomocnicze; zalecana weryfikacja w źródle urzędowym). Dostęp: 25.12.2025, https://dejure.org/gesetze/SchKG/</w:t>
      </w:r>
    </w:p>
    <w:p>
      <w:pPr>
        <w:spacing w:line="288" w:lineRule="auto"/>
      </w:pPr>
      <w:r>
        <w:rPr>
          <w:b/>
        </w:rPr>
        <w:t xml:space="preserve">6. </w:t>
      </w:r>
      <w:r>
        <w:t>Netherlands, Wet afbreking zwangerschap (WAZ), wersja skonsolidowana – wetten.overheid.nl (BWBR0003396). Dostęp: 25.12.2025, https://wetten.overheid.nl/BWBR0003396/2025-07-05</w:t>
      </w:r>
    </w:p>
    <w:p>
      <w:pPr>
        <w:spacing w:line="288" w:lineRule="auto"/>
      </w:pPr>
      <w:r>
        <w:rPr>
          <w:b/>
        </w:rPr>
        <w:t xml:space="preserve">7. </w:t>
      </w:r>
      <w:r>
        <w:t>Netherlands, Wet van 22 augustus 2022 tot wijziging van Wet afbreking zwangerschap i.v.m. afschaffen verplichte minimale beraadtermijn (Stb. 2022, 326). Dostęp: 25.12.2025, https://zoek.officielebekendmakingen.nl/stb-2022-326.html</w:t>
      </w:r>
    </w:p>
    <w:p>
      <w:pPr>
        <w:spacing w:line="288" w:lineRule="auto"/>
      </w:pPr>
      <w:r>
        <w:rPr>
          <w:b/>
        </w:rPr>
        <w:t xml:space="preserve">8. </w:t>
      </w:r>
      <w:r>
        <w:t>Netherlands, Besluit van 28 september 2022: inwerkingtreding Stb. 2022, 326 per 1 januari 2023 (Stb. 2022, 377). Dostęp: 25.12.2025, https://zoek.officielebekendmakingen.nl/stb-2022-377.html</w:t>
      </w:r>
    </w:p>
    <w:p>
      <w:pPr>
        <w:spacing w:line="288" w:lineRule="auto"/>
      </w:pPr>
      <w:r>
        <w:rPr>
          <w:b/>
        </w:rPr>
        <w:t xml:space="preserve">9. </w:t>
      </w:r>
      <w:r>
        <w:t>Netherlands, Wet van 16 januari 2023: legal medicamenteuze afbreking zwangerschap via huisarts (Stb. 2023, 43). Dostęp: 25.12.2025, https://zoek.officielebekendmakingen.nl/stb-2023-43.html</w:t>
      </w:r>
    </w:p>
    <w:p>
      <w:pPr>
        <w:spacing w:line="288" w:lineRule="auto"/>
      </w:pPr>
      <w:r>
        <w:rPr>
          <w:b/>
        </w:rPr>
        <w:t xml:space="preserve">10. </w:t>
      </w:r>
      <w:r>
        <w:t>Netherlands, Besluit van 18 mei 2009: wijziging Besluit afbreking zwangerschap (vaststelling duur zwangerschap) (Stb. 2009, 230). Dostęp: 25.12.2025, https://zoek.officielebekendmakingen.nl/stb-2009-230.html</w:t>
      </w:r>
    </w:p>
    <w:p>
      <w:pPr>
        <w:spacing w:line="288" w:lineRule="auto"/>
      </w:pPr>
      <w:r>
        <w:rPr>
          <w:b/>
        </w:rPr>
        <w:t xml:space="preserve">11. </w:t>
      </w:r>
      <w:r>
        <w:t>ETPCz, Vo p. Francji, skarga nr 53924/00, wyrok Wielkiej Izby z 08.07.2004 (HUDOC). Dostęp: 25.12.2025, https://hudoc.echr.coe.int/eng?i=001-61887</w:t>
      </w:r>
    </w:p>
    <w:p>
      <w:pPr>
        <w:spacing w:line="288" w:lineRule="auto"/>
      </w:pPr>
      <w:r>
        <w:rPr>
          <w:b/>
        </w:rPr>
        <w:t xml:space="preserve">12. </w:t>
      </w:r>
      <w:r>
        <w:t>ETPCz, A, B i C p. Irlandii, skarga nr 25579/05, wyrok Wielkiej Izby z 16.12.2010 (HUDOC). Dostęp: 25.12.2025, https://hudoc.echr.coe.int/eng?i=001-102332</w:t>
      </w:r>
    </w:p>
    <w:p>
      <w:pPr>
        <w:spacing w:line="288" w:lineRule="auto"/>
      </w:pPr>
      <w:r>
        <w:rPr>
          <w:b/>
        </w:rPr>
        <w:t xml:space="preserve">13. </w:t>
      </w:r>
      <w:r>
        <w:t>ETPCz, Tysiąc p. Polsce, skarga nr 5410/03, wyrok z 20.03.2007 (HUDOC). Dostęp: 25.12.2025, https://hudoc.echr.coe.int/eng?i=001-79812</w:t>
      </w:r>
    </w:p>
    <w:p>
      <w:pPr>
        <w:spacing w:line="288" w:lineRule="auto"/>
      </w:pPr>
      <w:r>
        <w:rPr>
          <w:b/>
        </w:rPr>
        <w:t xml:space="preserve">14. </w:t>
      </w:r>
      <w:r>
        <w:t>ETPCz, R.R. p. Polsce, skarga nr 27617/04, wyrok z 26.05.2011 (HUDOC). Dostęp: 25.12.2025, https://hudoc.echr.coe.int/eng?i=001-104911</w:t>
      </w:r>
    </w:p>
    <w:p>
      <w:pPr>
        <w:spacing w:line="288" w:lineRule="auto"/>
      </w:pPr>
      <w:r>
        <w:rPr>
          <w:b/>
        </w:rPr>
        <w:t xml:space="preserve">15. </w:t>
      </w:r>
      <w:r>
        <w:t>ETPCz, P. i S. p. Polsce, skarga nr 57375/08, wyrok z 30.10.2012 (HUDOC). Dostęp: 25.12.2025, https://hudoc.echr.coe.int/eng?i=001-114098</w:t>
      </w:r>
    </w:p>
    <w:p>
      <w:pPr>
        <w:spacing w:line="288" w:lineRule="auto"/>
      </w:pPr>
      <w:r>
        <w:rPr>
          <w:b/>
        </w:rPr>
        <w:t xml:space="preserve">16. </w:t>
      </w:r>
      <w:r>
        <w:t>ETPCz, Open Door i Dublin Well Woman p. Irlandii, skarga nr 14234/88, wyrok z 29.10.1992 (HUDOC). Dostęp: 25.12.2025, https://hudoc.echr.coe.int/eng?i=001-57789</w:t>
      </w:r>
    </w:p>
    <w:p>
      <w:pPr>
        <w:spacing w:line="288" w:lineRule="auto"/>
      </w:pPr>
      <w:r>
        <w:rPr>
          <w:b/>
        </w:rPr>
        <w:t xml:space="preserve">17. </w:t>
      </w:r>
      <w:r>
        <w:t>BVerfG, Urteil des Zweiten Senats vom 28. Mai 1993, 2 BvF 2/90 u.a. (strona informacyjna BVerfG). Dostęp: 25.12.2025, https://www.bundesverfassungsgericht.de/SharedDocs/Entscheidungen/DE/1993/05/rs19930528_2bvf000290.html</w:t>
      </w:r>
    </w:p>
    <w:p>
      <w:pPr>
        <w:spacing w:line="288" w:lineRule="auto"/>
      </w:pPr>
      <w:r>
        <w:rPr>
          <w:b/>
        </w:rPr>
        <w:t xml:space="preserve">18. </w:t>
      </w:r>
      <w:r>
        <w:t>Parliamentary Assembly of the Council of Europe, Resolution 1763 (2010): "The right to conscientious objection in lawful medical care". Dostęp: 25.12.2025, https://assembly.coe.int/nw/xml/XRef/Xref-XML2HTML-en.asp?fileid=17909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