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bddb613b3d6463c" /><Relationship Type="http://schemas.openxmlformats.org/package/2006/relationships/metadata/core-properties" Target="/package/services/metadata/core-properties/469fc5fa51c9448a8ac9d90573204228.psmdcp" Id="Rcd7dfa59a5ca4fa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spacing w:before="240" w:line="240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name="_4n26uqarn7ua" w:colFirst="0" w:colLast="0" w:id="0"/>
      <w:bookmarkEnd w:id="0"/>
      <w:r w:rsidRPr="00000000" w:rsidDel="00000000" w:rsidR="00000000">
        <w:rPr>
          <w:b w:val="1"/>
          <w:sz w:val="24"/>
          <w:szCs w:val="24"/>
          <w:rtl w:val="0"/>
        </w:rPr>
        <w:t xml:space="preserve">Разработка энергоэффективных блоков сегнетоэлектрической памяти на основе тонких пленок  на основе оксида гафния, с возможностью самодиагностики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i w:val="1"/>
          <w:rtl w:val="0"/>
        </w:rPr>
        <w:t xml:space="preserve">М. М. Соловьянов </w:t>
      </w:r>
      <w:r w:rsidRPr="00000000" w:rsidDel="00000000" w:rsidR="00000000">
        <w:rPr>
          <w:rtl w:val="0"/>
        </w:rPr>
        <w:t xml:space="preserve">лаборатория нейровычислительных систем МФТИ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Ключевые слова: энергонезависимая память, FRAM , динамическая память, наноматериалы, наноэлектроника, функциональные материалы.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1"/>
        <w:jc w:val="center"/>
        <w:rPr>
          <w:b w:val="1"/>
          <w:sz w:val="24"/>
          <w:szCs w:val="24"/>
        </w:rPr>
      </w:pPr>
      <w:bookmarkStart w:name="_qieg3rji0tbg" w:colFirst="0" w:colLast="0" w:id="1"/>
      <w:bookmarkEnd w:id="1"/>
      <w:r w:rsidRPr="00000000" w:rsidDel="00000000" w:rsidR="00000000">
        <w:rPr>
          <w:rtl w:val="0"/>
        </w:rPr>
        <w:t xml:space="preserve">Аннтотация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Данная работа представляет собой описание методов создания инновационных приборов сегнетоэлектрической памяти на основе материалов разработанных в лабораториях ЦКП МФТИ на основе тонких пленок оксида гафния, а так же разработки и методы разработки необходимой периферии к ним.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2"/>
        <w:jc w:val="center"/>
        <w:rPr/>
      </w:pPr>
      <w:bookmarkStart w:name="_ktzg7aqjlhox" w:colFirst="0" w:colLast="0" w:id="2"/>
      <w:bookmarkEnd w:id="2"/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Актуальность задачи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  <w:t xml:space="preserve">Исследования проводимые в лаборатории нейровычислительных систем МФТИ в рамках разработки интегральных схем для анализа работы мозга требуют реализации энергонезависимой и энергоэффективной памяти интегрированной в чип, при этом способной записывать многократно большие объемы данных. Приняв во внимание исследования сделанные в ЦКП МФТИ в течении последних 5ти лет[1][2][3][4] позволяют сделать вывод о возможности реализации нового поколения динамической памяти на основе конденсаторов тончайших пленках (4-8 нм) оксида гафния с колоссальным ресурсом переключений и крайне низким энергопотреблением. Н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едавние открытия в области сегнетоэлектрических свойств уже </w:t>
      </w:r>
      <w:r w:rsidRPr="00000000" w:rsidDel="00000000" w:rsidR="00000000">
        <w:rPr>
          <w:rtl w:val="0"/>
        </w:rPr>
        <w:t xml:space="preserve">полученного в лаборатории материала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вполне возможно являются прелюдией к революции в области энергонезависимой памяти. В стенах лаборатории нейровычислительных систем </w:t>
      </w:r>
      <w:r w:rsidRPr="00000000" w:rsidDel="00000000" w:rsidR="00000000">
        <w:rPr>
          <w:rtl w:val="0"/>
        </w:rPr>
        <w:t xml:space="preserve">разрабатывается и испытывается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данн</w:t>
      </w:r>
      <w:r w:rsidRPr="00000000" w:rsidDel="00000000" w:rsidR="00000000">
        <w:rPr>
          <w:rtl w:val="0"/>
        </w:rPr>
        <w:t xml:space="preserve">ая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память для реализации хранения информации на инвазивном чипе используемым для считывания сигналов </w:t>
      </w:r>
      <w:r w:rsidRPr="00000000" w:rsidDel="00000000" w:rsidR="00000000">
        <w:rPr>
          <w:rtl w:val="0"/>
        </w:rPr>
        <w:t xml:space="preserve">м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озга. К такой памяти предъявляются требования по низкому энергопотреблению и высокой скорости работы</w:t>
      </w:r>
      <w:r w:rsidRPr="00000000" w:rsidDel="00000000" w:rsidR="00000000">
        <w:rPr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2"/>
        <w:rPr>
          <w:rFonts w:ascii="Times New Roman" w:hAnsi="Times New Roman" w:eastAsia="Times New Roman" w:cs="Times New Roman"/>
          <w:sz w:val="22"/>
          <w:szCs w:val="22"/>
        </w:rPr>
      </w:pPr>
      <w:bookmarkStart w:name="_tovv795f6o38" w:colFirst="0" w:colLast="0" w:id="3"/>
      <w:bookmarkEnd w:id="3"/>
      <w:r w:rsidR="60891ACA">
        <w:t>￼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как перспективный материал производства сегнетоэлектрической памяти нового поколения. График зависимости пол</w:t>
      </w:r>
      <w:r w:rsidRPr="00000000" w:rsidDel="00000000" w:rsidR="00000000">
        <w:rPr>
          <w:sz w:val="22"/>
          <w:szCs w:val="22"/>
          <w:rtl w:val="0"/>
        </w:rPr>
        <w:t xml:space="preserve">яризации от количества считываний.</w:t>
      </w:r>
      <w:r w:rsidRPr="00000000" w:rsidDel="00000000" w:rsidR="00000000">
        <w:rPr>
          <w:rtl w:val="0"/>
        </w:rPr>
      </w:r>
      <w:r w:rsidRPr="60891ACA" w:rsidR="60891ACA">
        <w:rPr>
          <w:rFonts w:ascii="Times New Roman" w:hAnsi="Times New Roman" w:eastAsia="Times New Roman" w:cs="Times New Roman"/>
        </w:rPr>
        <w:t xml:space="preserve"> </w:t>
      </w:r>
      <w:r w:rsidRPr="60891ACA" w:rsidR="60891ACA">
        <w:rPr>
          <w:rFonts w:ascii="Times New Roman" w:hAnsi="Times New Roman" w:eastAsia="Times New Roman" w:cs="Times New Roman"/>
          <w:sz w:val="22"/>
          <w:szCs w:val="22"/>
        </w:rPr>
        <w:t>как перспективный материал производства сегнетоэлектрической памяти нового поколения. График зависимости пол</w:t>
      </w:r>
      <w:r w:rsidRPr="60891ACA" w:rsidR="60891ACA">
        <w:rPr>
          <w:sz w:val="22"/>
          <w:szCs w:val="22"/>
        </w:rPr>
        <w:t>яризации от количества считываний.</w:t>
      </w:r>
    </w:p>
    <w:p xmlns:wp14="http://schemas.microsoft.com/office/word/2010/wordml" w:rsidRPr="00000000" w:rsidR="00000000" w:rsidDel="00000000" w:rsidP="60891ACA" w:rsidRDefault="00000000" w14:paraId="0000000B" wp14:textId="343F65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0891ACA">
        <w:rPr/>
        <w:t xml:space="preserve"> </w:t>
      </w:r>
      <w:r w:rsidRPr="60891ACA" w:rsidR="60891ACA">
        <w:rPr>
          <w:rFonts w:ascii="Times New Roman" w:hAnsi="Times New Roman" w:eastAsia="Times New Roman" w:cs="Times New Roman"/>
        </w:rPr>
        <w:t xml:space="preserve">В последние годы исследования </w:t>
      </w:r>
      <w:proofErr w:type="spellStart"/>
      <w:r w:rsidRPr="60891ACA" w:rsidR="60891ACA">
        <w:rPr>
          <w:rFonts w:ascii="Times New Roman" w:hAnsi="Times New Roman" w:eastAsia="Times New Roman" w:cs="Times New Roman"/>
        </w:rPr>
        <w:t>High</w:t>
      </w:r>
      <w:proofErr w:type="spellEnd"/>
      <w:r w:rsidRPr="60891ACA" w:rsidR="60891ACA">
        <w:rPr>
          <w:rFonts w:ascii="Times New Roman" w:hAnsi="Times New Roman" w:eastAsia="Times New Roman" w:cs="Times New Roman"/>
        </w:rPr>
        <w:t xml:space="preserve">-K диэлектриков привели к активному исследованию материалов на базе оксидов гафния. В частности в 2016 году ряд авторов из лаборатории атомно-слоевого осаждения МФТИ публикуют статьи [1][2][3], в которых демонстрируются свойства многообещающего материала, который может применяться в качестве сегнетоэлектрика как в </w:t>
      </w:r>
      <w:proofErr w:type="spellStart"/>
      <w:r w:rsidRPr="60891ACA" w:rsidR="60891ACA">
        <w:rPr>
          <w:rFonts w:ascii="Times New Roman" w:hAnsi="Times New Roman" w:eastAsia="Times New Roman" w:cs="Times New Roman"/>
        </w:rPr>
        <w:t>FeFET</w:t>
      </w:r>
      <w:proofErr w:type="spellEnd"/>
      <w:r w:rsidRPr="60891ACA" w:rsidR="60891ACA">
        <w:rPr>
          <w:rFonts w:ascii="Times New Roman" w:hAnsi="Times New Roman" w:eastAsia="Times New Roman" w:cs="Times New Roman"/>
        </w:rPr>
        <w:t xml:space="preserve"> технологии так и в динамической памяти на основе сегнетоэлектрика (FRAM).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D40DEBF" wp14:editId="7777777">
            <wp:extent cx="4063425" cy="2018077"/>
            <wp:effectExtent l="0" t="0" r="0" b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6711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425" cy="201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/>
      </w:pPr>
      <w:r w:rsidRPr="00000000" w:rsidDel="00000000" w:rsidR="00000000">
        <w:rPr>
          <w:rtl w:val="0"/>
        </w:rPr>
        <w:t xml:space="preserve">Рис.1 Зависимость остаточной поляризации от количества считываний.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both"/>
        <w:rPr>
          <w:rFonts w:ascii="Times New Roman" w:hAnsi="Times New Roman" w:eastAsia="Times New Roman" w:cs="Times New Roman"/>
        </w:rPr>
      </w:pPr>
      <w:r w:rsidRPr="00000000" w:rsidDel="00000000" w:rsidR="00000000">
        <w:rPr/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Как видно из рисунка 1 остаточная поляризация </w:t>
      </w:r>
      <w:r w:rsidRPr="00000000" w:rsidDel="00000000" w:rsidR="00000000">
        <w:rPr/>
        <w:t xml:space="preserve">лучших</w:t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пленок составила </w:t>
      </w:r>
      <w:r w:rsidRPr="00000000" w:rsidDel="00000000" w:rsidR="00000000">
        <w:rPr/>
        <w:t xml:space="preserve">не менее</w:t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15 </w:t>
      </w:r>
      <w:r w:rsidR="60891ACA">
        <w:t>￼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в течении</w:t>
      </w:r>
      <w:r w:rsidRPr="00000000" w:rsidDel="00000000" w:rsidR="00000000">
        <w:rPr>
          <w:rtl w:val="0"/>
        </w:rPr>
        <w:t xml:space="preserve"> всех переключений.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</w:t>
      </w:r>
      <w:r w:rsidRPr="60891ACA" w:rsidR="60891ACA">
        <w:rPr>
          <w:rFonts w:ascii="Times New Roman" w:hAnsi="Times New Roman" w:eastAsia="Times New Roman" w:cs="Times New Roman"/>
        </w:rPr>
        <w:t xml:space="preserve"> в течении</w:t>
      </w:r>
      <w:r w:rsidR="60891ACA">
        <w:rPr/>
        <w:t xml:space="preserve"> всех переключений.</w:t>
      </w:r>
      <w:r w:rsidRPr="60891ACA" w:rsidR="60891AC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Style w:val="Heading2"/>
        <w:rPr>
          <w:b w:val="1"/>
          <w:sz w:val="24"/>
          <w:szCs w:val="24"/>
        </w:rPr>
      </w:pPr>
      <w:bookmarkStart w:name="_3r61w61t1crt" w:colFirst="0" w:colLast="0" w:id="4"/>
      <w:bookmarkEnd w:id="4"/>
      <w:r w:rsidRPr="00000000" w:rsidDel="00000000" w:rsidR="00000000">
        <w:rPr>
          <w:rtl w:val="0"/>
        </w:rPr>
        <w:t xml:space="preserve">Стадии работы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283.46456692913375" w:firstLine="436.53543307086625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На данный момент ведется разработка предсерийных образцов памяти с возможностью контроля качества произведенных ячеек, на что и делается упор в последних проведенных исследованиях.Тестовые образцы разрабатываемые в данный момент будут способны определять параметры собственной поляризации каждой ячейки из массива, при этом планируется создания массивов с ядрами памяти порядка 64 кБит. Саму интегральную схему предлагается выполнить по технологии 180 нм, </w:t>
      </w:r>
    </w:p>
    <w:p xmlns:wp14="http://schemas.microsoft.com/office/word/2010/wordml" w:rsidRPr="00000000" w:rsidR="00000000" w:rsidDel="00000000" w:rsidP="60891ACA" w:rsidRDefault="00000000" w14:paraId="00000010" wp14:textId="10EBB029">
      <w:pPr>
        <w:ind w:firstLine="720"/>
        <w:rPr>
          <w:b w:val="1"/>
          <w:bCs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</w:rPr>
        <w:t xml:space="preserve">Принципиальный вид ячейки 1T-1C  немногим отличается от ячейки DRAM, диэлектрический конденсатор попросту заменяется сегнетоэлектрическим, а второй вывод конденсатора подключается не к земле, а к драйверу PL (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plate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line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).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firstLine="72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Разрабатываемый контроллер и схемотехника предусматривает следующие режимы работы памяти: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Reset,Запись, Чтение ,Точное чтение заряда в ячейке,Чтение емкости,Поиск напряжение смещения усилителя.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Heading2"/>
        <w:widowControl w:val="0"/>
        <w:jc w:val="center"/>
        <w:rPr>
          <w:b w:val="1"/>
          <w:sz w:val="24"/>
          <w:szCs w:val="24"/>
        </w:rPr>
      </w:pPr>
      <w:bookmarkStart w:name="_9qkungvhaptv" w:colFirst="0" w:colLast="0" w:id="5"/>
      <w:bookmarkEnd w:id="5"/>
      <w:r w:rsidRPr="00000000" w:rsidDel="00000000" w:rsidR="00000000">
        <w:rPr>
          <w:b w:val="1"/>
          <w:sz w:val="24"/>
          <w:szCs w:val="24"/>
          <w:rtl w:val="0"/>
        </w:rPr>
        <w:t xml:space="preserve">Выводы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0"/>
        <w:ind w:firstLine="720"/>
        <w:jc w:val="left"/>
        <w:rPr/>
      </w:pPr>
      <w:r w:rsidRPr="00000000" w:rsidDel="00000000" w:rsidR="00000000">
        <w:rPr>
          <w:rtl w:val="0"/>
        </w:rPr>
        <w:t xml:space="preserve">Раработана интегральная система генераторов блоков памяти с функции диагностики и характеризации использующая иновационные материалы.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widowControl w:val="0"/>
        <w:jc w:val="left"/>
        <w:rPr/>
      </w:pPr>
      <w:r w:rsidRPr="00000000" w:rsidDel="00000000" w:rsidR="00000000">
        <w:rPr>
          <w:rtl w:val="0"/>
        </w:rPr>
        <w:t xml:space="preserve">Плотность ячеек с технологией Микрон 90нм: 0.4 бит/um^2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widowControl w:val="0"/>
        <w:jc w:val="left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  <w:t xml:space="preserve">Время доступа к слову доступа: Запись ~5 нс  Чтение ~15-20 нс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both"/>
        <w:rPr>
          <w:b w:val="1"/>
        </w:rPr>
      </w:pPr>
      <w:r w:rsidRPr="00000000" w:rsidDel="00000000" w:rsidR="00000000">
        <w:rPr>
          <w:b w:val="1"/>
          <w:rtl w:val="0"/>
        </w:rPr>
        <w:t xml:space="preserve">Литература: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[1]Kozodaev, Maxim G., et al. “La-Doped Hf0.5Zr0.5O2 Thin Films for High-Efficiency Electrostatic Supercapacitors.” Applied Physics Letters, vol. 113, no. 12, 2018, p. 123902., doi:10.1063/1.5045288.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[2]Kozodaev, Maxim G., et al. “Mitigating Wakeup Effect and Improving Endurance of Ferroelectric HfO2-ZrO2 Thin Films by Careful La-Doping.” Journal of Applied Physics, vol. 125, no. 3, 2019, p. 034101., doi:10.1063/1.5050700.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[3]Kozodaev, Maxim G., et al. “Mitigating Wakeup Effect and Improving Endurance of Ferroelectric HfO2-ZrO2 Thin Films by Careful La-Doping.” Journal of Applied Physics, vol. 125, no. 3, 2019, p. 034101., doi:10.1063/1.5050700.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[4]Anna G. Chernikova, Maxim G. Kozodaev, Dmitry V. Negrov, Evgeny V. Korostylev,Min Hyuk Park, Uwe Schroeder, Andrey M. Markeev,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[5]Itoh, K. VLSI Memory Chip Design. Springer 2001. ISBN 3-540-67820-4.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[6]Itoh, K.: VLSI Memory Design. Tokyo (in Japanese): Baifukan 1994.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[7]Advanced Circuit Design of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Gigabit-Density Ferroelectric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Random-Access Memories Jürgen Thomas Rickes aus Neuwied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both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CMOS Circuit Design, Layout, and Simulation Third Edition R. Jacob Baker</w:t>
      </w:r>
      <w:r w:rsidRPr="00000000" w:rsidDel="00000000" w:rsidR="00000000">
        <w:rPr>
          <w:rtl w:val="0"/>
        </w:rPr>
      </w:r>
    </w:p>
    <w:sectPr>
      <w:pgSz w:w="11909" w:h="16834" w:orient="portrait"/>
      <w:pgMar w:top="1275" w:right="832" w:bottom="1396" w:lef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019FA8"/>
  <w15:docId w15:val="{f748e95d-7205-4f3e-9a3e-fa229f7c2968}"/>
  <w:rsids>
    <w:rsidRoot w:val="60891ACA"/>
    <w:rsid w:val="60891AC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3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