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EA5" w:rsidRDefault="00595EA5" w:rsidP="00AA2CE3">
      <w:pPr>
        <w:jc w:val="center"/>
      </w:pPr>
    </w:p>
    <w:p w:rsidR="00595EA5" w:rsidRDefault="00595EA5" w:rsidP="00AA2CE3">
      <w:pPr>
        <w:jc w:val="center"/>
      </w:pPr>
    </w:p>
    <w:p w:rsidR="00595EA5" w:rsidRDefault="00595EA5" w:rsidP="00AA2CE3">
      <w:pPr>
        <w:jc w:val="center"/>
      </w:pPr>
      <w:r>
        <w:rPr>
          <w:noProof/>
        </w:rPr>
        <w:drawing>
          <wp:inline distT="0" distB="0" distL="0" distR="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FA1773" w:rsidRDefault="00FA1773" w:rsidP="00AA2CE3">
      <w:pPr>
        <w:jc w:val="center"/>
      </w:pPr>
    </w:p>
    <w:p w:rsidR="00FA1773" w:rsidRDefault="00FA1773" w:rsidP="00FA1773">
      <w:r>
        <w:t>Figure 1. Spawning biomass distributions.</w:t>
      </w:r>
    </w:p>
    <w:p w:rsidR="00FA1773" w:rsidRDefault="00FA1773" w:rsidP="00AA2CE3">
      <w:pPr>
        <w:jc w:val="center"/>
      </w:pPr>
    </w:p>
    <w:p w:rsidR="004C1E8F" w:rsidRDefault="009D30F5" w:rsidP="00AA2CE3">
      <w:pPr>
        <w:jc w:val="center"/>
      </w:pPr>
      <w:r>
        <w:rPr>
          <w:noProof/>
        </w:rPr>
        <w:lastRenderedPageBreak/>
        <w:drawing>
          <wp:inline distT="0" distB="0" distL="0" distR="0">
            <wp:extent cx="4094328" cy="760375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8689" cy="7611850"/>
                    </a:xfrm>
                    <a:prstGeom prst="rect">
                      <a:avLst/>
                    </a:prstGeom>
                    <a:noFill/>
                    <a:ln>
                      <a:noFill/>
                    </a:ln>
                  </pic:spPr>
                </pic:pic>
              </a:graphicData>
            </a:graphic>
          </wp:inline>
        </w:drawing>
      </w:r>
    </w:p>
    <w:p w:rsidR="00FA1773" w:rsidRDefault="00FA1773" w:rsidP="00FA1773">
      <w:r>
        <w:t>Figure 2. Time series of populations at different slopes.</w:t>
      </w:r>
    </w:p>
    <w:p w:rsidR="00AA2CE3" w:rsidRDefault="00AA2CE3" w:rsidP="00AA2CE3">
      <w:pPr>
        <w:jc w:val="center"/>
      </w:pPr>
    </w:p>
    <w:p w:rsidR="00AA2CE3" w:rsidRDefault="00AA2CE3" w:rsidP="00AA2CE3">
      <w:pPr>
        <w:jc w:val="center"/>
      </w:pPr>
      <w:r>
        <w:rPr>
          <w:noProof/>
        </w:rPr>
        <w:lastRenderedPageBreak/>
        <w:drawing>
          <wp:inline distT="0" distB="0" distL="0" distR="0">
            <wp:extent cx="4572000"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rsidR="00FA1773" w:rsidRDefault="00FA1773" w:rsidP="00FA1773">
      <w:r>
        <w:t>Figure 3. (a) Lambda1 as a function of the spawning biomass distribution CV. (b) 1/DR as a function of the spawning biomass distribution CV.</w:t>
      </w:r>
    </w:p>
    <w:p w:rsidR="00AA2CE3" w:rsidRDefault="00AA2CE3" w:rsidP="00AA2CE3">
      <w:pPr>
        <w:jc w:val="center"/>
      </w:pPr>
    </w:p>
    <w:p w:rsidR="00AA2CE3" w:rsidRDefault="00AA2CE3" w:rsidP="00AA2CE3">
      <w:pPr>
        <w:jc w:val="center"/>
      </w:pPr>
    </w:p>
    <w:p w:rsidR="00AA2CE3" w:rsidRDefault="00AA2CE3" w:rsidP="00AA2CE3">
      <w:pPr>
        <w:jc w:val="center"/>
      </w:pPr>
    </w:p>
    <w:p w:rsidR="00AA2CE3" w:rsidRDefault="00AA2CE3" w:rsidP="00AA2CE3">
      <w:pPr>
        <w:jc w:val="center"/>
      </w:pPr>
    </w:p>
    <w:p w:rsidR="00AA2CE3" w:rsidRDefault="00AA2CE3" w:rsidP="00AA2CE3">
      <w:pPr>
        <w:jc w:val="center"/>
      </w:pPr>
    </w:p>
    <w:p w:rsidR="009D30F5" w:rsidRDefault="009D30F5" w:rsidP="00AA2CE3">
      <w:pPr>
        <w:jc w:val="center"/>
      </w:pPr>
    </w:p>
    <w:p w:rsidR="009D30F5" w:rsidRDefault="009D30F5" w:rsidP="00AA2CE3">
      <w:pPr>
        <w:jc w:val="center"/>
      </w:pPr>
    </w:p>
    <w:p w:rsidR="00AA2CE3" w:rsidRDefault="00AA2CE3" w:rsidP="00AA2CE3">
      <w:pPr>
        <w:jc w:val="center"/>
      </w:pPr>
      <w:r>
        <w:rPr>
          <w:noProof/>
        </w:rPr>
        <w:drawing>
          <wp:inline distT="0" distB="0" distL="0" distR="0">
            <wp:extent cx="4776716" cy="682387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8914" cy="6827019"/>
                    </a:xfrm>
                    <a:prstGeom prst="rect">
                      <a:avLst/>
                    </a:prstGeom>
                    <a:noFill/>
                    <a:ln>
                      <a:noFill/>
                    </a:ln>
                  </pic:spPr>
                </pic:pic>
              </a:graphicData>
            </a:graphic>
          </wp:inline>
        </w:drawing>
      </w:r>
    </w:p>
    <w:p w:rsidR="00FA1773" w:rsidRDefault="00FA1773" w:rsidP="00FA1773">
      <w:r>
        <w:t>Figure 4. Spectrum of all 16 cod populations. Y-axis is log scale.</w:t>
      </w:r>
    </w:p>
    <w:p w:rsidR="009D30F5" w:rsidRDefault="009D30F5" w:rsidP="00AA2CE3">
      <w:pPr>
        <w:jc w:val="center"/>
      </w:pPr>
    </w:p>
    <w:p w:rsidR="009D30F5" w:rsidRDefault="009D30F5" w:rsidP="00AA2CE3">
      <w:pPr>
        <w:jc w:val="center"/>
      </w:pPr>
    </w:p>
    <w:p w:rsidR="00AA2CE3" w:rsidRDefault="00AA2CE3" w:rsidP="00AA2CE3">
      <w:pPr>
        <w:jc w:val="center"/>
      </w:pPr>
      <w:r>
        <w:rPr>
          <w:noProof/>
        </w:rPr>
        <w:drawing>
          <wp:inline distT="0" distB="0" distL="0" distR="0">
            <wp:extent cx="54864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FA1773" w:rsidRDefault="00FA1773" w:rsidP="00FA1773">
      <w:r>
        <w:t>Figure 5. Cumulative variance with higher frequencies. Note: y-axis starts at 0.7.</w:t>
      </w:r>
    </w:p>
    <w:p w:rsidR="00AA2CE3" w:rsidRDefault="00AA2CE3" w:rsidP="00AA2CE3">
      <w:pPr>
        <w:jc w:val="center"/>
      </w:pPr>
    </w:p>
    <w:p w:rsidR="00AA2CE3" w:rsidRDefault="00AA2CE3" w:rsidP="00AA2CE3">
      <w:pPr>
        <w:jc w:val="center"/>
      </w:pPr>
    </w:p>
    <w:p w:rsidR="00AA2CE3" w:rsidRDefault="00AA2CE3" w:rsidP="00AA2CE3">
      <w:pPr>
        <w:jc w:val="center"/>
      </w:pPr>
    </w:p>
    <w:p w:rsidR="00AA2CE3" w:rsidRDefault="00AA2CE3" w:rsidP="00AA2CE3">
      <w:pPr>
        <w:jc w:val="center"/>
      </w:pPr>
    </w:p>
    <w:p w:rsidR="00AA2CE3" w:rsidRDefault="00AA2CE3" w:rsidP="00AA2CE3">
      <w:pPr>
        <w:jc w:val="center"/>
      </w:pPr>
    </w:p>
    <w:p w:rsidR="00EE0D39" w:rsidRDefault="00EE0D39" w:rsidP="00AA2CE3">
      <w:pPr>
        <w:jc w:val="center"/>
      </w:pPr>
      <w:r>
        <w:rPr>
          <w:noProof/>
        </w:rPr>
        <w:drawing>
          <wp:inline distT="0" distB="0" distL="0" distR="0">
            <wp:extent cx="4599296" cy="68989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1001" cy="6901502"/>
                    </a:xfrm>
                    <a:prstGeom prst="rect">
                      <a:avLst/>
                    </a:prstGeom>
                    <a:noFill/>
                    <a:ln>
                      <a:noFill/>
                    </a:ln>
                  </pic:spPr>
                </pic:pic>
              </a:graphicData>
            </a:graphic>
          </wp:inline>
        </w:drawing>
      </w:r>
    </w:p>
    <w:p w:rsidR="00FA1773" w:rsidRPr="00744D61" w:rsidRDefault="00FA1773" w:rsidP="00FA1773">
      <w:r w:rsidRPr="00744D61">
        <w:t>Figure 6. (a) Relationship between total variance and lambda1. (b) Relationship between fraction of high frequency variance at 1/DR.</w:t>
      </w:r>
    </w:p>
    <w:p w:rsidR="00FA1773" w:rsidRDefault="00FA1773" w:rsidP="00AA2CE3">
      <w:pPr>
        <w:jc w:val="center"/>
      </w:pPr>
    </w:p>
    <w:p w:rsidR="00EE0D39" w:rsidRDefault="00EE0D39" w:rsidP="00AA2CE3">
      <w:pPr>
        <w:jc w:val="center"/>
      </w:pPr>
    </w:p>
    <w:p w:rsidR="00EE0D39" w:rsidRDefault="00E47B1D" w:rsidP="00AA2CE3">
      <w:pPr>
        <w:jc w:val="center"/>
      </w:pPr>
      <w:bookmarkStart w:id="0" w:name="_GoBack"/>
      <w:bookmarkEnd w:id="0"/>
      <w:r w:rsidRPr="00487461">
        <w:rPr>
          <w:b/>
          <w:noProof/>
        </w:rPr>
        <mc:AlternateContent>
          <mc:Choice Requires="wps">
            <w:drawing>
              <wp:anchor distT="45720" distB="45720" distL="114300" distR="114300" simplePos="0" relativeHeight="251660288" behindDoc="0" locked="0" layoutInCell="1" allowOverlap="1" wp14:anchorId="268662D7" wp14:editId="0C8A8A28">
                <wp:simplePos x="0" y="0"/>
                <wp:positionH relativeFrom="column">
                  <wp:posOffset>984250</wp:posOffset>
                </wp:positionH>
                <wp:positionV relativeFrom="paragraph">
                  <wp:posOffset>2896870</wp:posOffset>
                </wp:positionV>
                <wp:extent cx="7767955" cy="1404620"/>
                <wp:effectExtent l="953" t="0" r="5397" b="5398"/>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767955" cy="1404620"/>
                        </a:xfrm>
                        <a:prstGeom prst="rect">
                          <a:avLst/>
                        </a:prstGeom>
                        <a:solidFill>
                          <a:srgbClr val="FFFFFF"/>
                        </a:solidFill>
                        <a:ln w="9525">
                          <a:noFill/>
                          <a:miter lim="800000"/>
                          <a:headEnd/>
                          <a:tailEnd/>
                        </a:ln>
                      </wps:spPr>
                      <wps:txbx>
                        <w:txbxContent>
                          <w:p w:rsidR="00E47B1D" w:rsidRPr="00D86888" w:rsidRDefault="00E47B1D" w:rsidP="00E47B1D">
                            <w:pPr>
                              <w:shd w:val="clear" w:color="auto" w:fill="FFFFFF"/>
                              <w:spacing w:after="0" w:line="240" w:lineRule="auto"/>
                              <w:rPr>
                                <w:rFonts w:ascii="Times New Roman" w:eastAsia="Times New Roman" w:hAnsi="Times New Roman" w:cs="Times New Roman"/>
                                <w:color w:val="222222"/>
                              </w:rPr>
                            </w:pPr>
                            <w:r w:rsidRPr="00744D61">
                              <w:t xml:space="preserve">Figure 7. </w:t>
                            </w:r>
                            <w:r w:rsidRPr="00D86888">
                              <w:rPr>
                                <w:rFonts w:ascii="Times New Roman" w:eastAsia="Times New Roman" w:hAnsi="Times New Roman" w:cs="Times New Roman"/>
                                <w:color w:val="222222"/>
                              </w:rPr>
                              <w:t>(a) The color of each cell indicates the standard deviation of recruitment relative to mean recruitment for a single population at different levels of k (slope of the S-R curve). Number in parentheses next to each population is peak spawning age. (b) Each cell represents the fraction of total variance in recruitment time series that is concentrated at high frequencies. Since the area under the spectra curve is total variance in a time series, fraction of high frequency variance is calculated by dividing the area under the spectra curve at high frequencies by the total area under the curve across all frequencies</w:t>
                            </w:r>
                            <w:r w:rsidRPr="00D86888">
                              <w:rPr>
                                <w:rFonts w:ascii="Times New Roman" w:hAnsi="Times New Roman" w:cs="Times New Roman"/>
                                <w:b/>
                              </w:rPr>
                              <w:t>.</w:t>
                            </w:r>
                            <w:r w:rsidRPr="00D86888">
                              <w:rPr>
                                <w:rFonts w:ascii="Times New Roman" w:hAnsi="Times New Roman" w:cs="Times New Roman"/>
                              </w:rPr>
                              <w:t xml:space="preserve"> </w:t>
                            </w:r>
                            <w:r w:rsidRPr="00D86888">
                              <w:rPr>
                                <w:rFonts w:ascii="Times New Roman" w:eastAsia="Times New Roman" w:hAnsi="Times New Roman" w:cs="Times New Roman"/>
                                <w:color w:val="222222"/>
                              </w:rPr>
                              <w:t xml:space="preserve">In both 3(a) and 3(b) dark purple colors represent lower values and bright orange represents higher values. (c) The difference in percent of low frequency variance for all populations between the highest (slope=0.91) and smallest (slope=0.1) slopes. Differences in percent were calculated from output in 3(b): values in the furthest right column (when slope is=0.91) were subtracted from values in the furthest left column (when slope is=0.1) and plotted as bars in 3(c). </w:t>
                            </w:r>
                            <w:r w:rsidRPr="00D86888">
                              <w:rPr>
                                <w:rFonts w:ascii="Times New Roman" w:eastAsia="Times New Roman" w:hAnsi="Times New Roman" w:cs="Times New Roman"/>
                                <w:b/>
                                <w:color w:val="222222"/>
                              </w:rPr>
                              <w:t xml:space="preserve">Populations are in order by </w:t>
                            </w:r>
                            <w:r>
                              <w:rPr>
                                <w:rFonts w:ascii="Times New Roman" w:eastAsia="Times New Roman" w:hAnsi="Times New Roman" w:cs="Times New Roman"/>
                                <w:b/>
                                <w:color w:val="222222"/>
                              </w:rPr>
                              <w:t>CV of spawning biomass distribution</w:t>
                            </w:r>
                            <w:r w:rsidRPr="00D86888">
                              <w:rPr>
                                <w:rFonts w:ascii="Times New Roman" w:eastAsia="Times New Roman" w:hAnsi="Times New Roman" w:cs="Times New Roman"/>
                                <w:b/>
                                <w:color w:val="222222"/>
                              </w:rPr>
                              <w:t>.</w:t>
                            </w:r>
                            <w:r w:rsidRPr="00D86888">
                              <w:rPr>
                                <w:rFonts w:ascii="Times New Roman" w:eastAsia="Times New Roman" w:hAnsi="Times New Roman" w:cs="Times New Roman"/>
                                <w:color w:val="222222"/>
                              </w:rPr>
                              <w:t xml:space="preserve"> </w:t>
                            </w:r>
                          </w:p>
                          <w:p w:rsidR="00E47B1D" w:rsidRPr="00744D61" w:rsidRDefault="00E47B1D" w:rsidP="00E47B1D"/>
                          <w:p w:rsidR="00E47B1D" w:rsidRDefault="00E47B1D" w:rsidP="00E47B1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68662D7" id="_x0000_t202" coordsize="21600,21600" o:spt="202" path="m,l,21600r21600,l21600,xe">
                <v:stroke joinstyle="miter"/>
                <v:path gradientshapeok="t" o:connecttype="rect"/>
              </v:shapetype>
              <v:shape id="Text Box 2" o:spid="_x0000_s1026" type="#_x0000_t202" style="position:absolute;left:0;text-align:left;margin-left:77.5pt;margin-top:228.1pt;width:611.65pt;height:110.6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" stroked="f">
                <v:textbox style="mso-fit-shape-to-text:t">
                  <w:txbxContent>
                    <w:p w:rsidR="00E47B1D" w:rsidRPr="00D86888" w:rsidRDefault="00E47B1D" w:rsidP="00E47B1D">
                      <w:pPr>
                        <w:shd w:val="clear" w:color="auto" w:fill="FFFFFF"/>
                        <w:spacing w:after="0" w:line="240" w:lineRule="auto"/>
                        <w:rPr>
                          <w:rFonts w:ascii="Times New Roman" w:eastAsia="Times New Roman" w:hAnsi="Times New Roman" w:cs="Times New Roman"/>
                          <w:color w:val="222222"/>
                        </w:rPr>
                      </w:pPr>
                      <w:r w:rsidRPr="00744D61">
                        <w:t xml:space="preserve">Figure 7. </w:t>
                      </w:r>
                      <w:r w:rsidRPr="00D86888">
                        <w:rPr>
                          <w:rFonts w:ascii="Times New Roman" w:eastAsia="Times New Roman" w:hAnsi="Times New Roman" w:cs="Times New Roman"/>
                          <w:color w:val="222222"/>
                        </w:rPr>
                        <w:t>(a) The color of each cell indicates the standard deviation of recruitment relative to mean recruitment for a single population at different levels of k (slope of the S-R curve). Number in parentheses next to each population is peak spawning age. (b) Each cell represents the fraction of total variance in recruitment time series that is concentrated at high frequencies. Since the area under the spectra curve is total variance in a time series, fraction of high frequency variance is calculated by dividing the area under the spectra curve at high frequencies by the total area under the curve across all frequencies</w:t>
                      </w:r>
                      <w:r w:rsidRPr="00D86888">
                        <w:rPr>
                          <w:rFonts w:ascii="Times New Roman" w:hAnsi="Times New Roman" w:cs="Times New Roman"/>
                          <w:b/>
                        </w:rPr>
                        <w:t>.</w:t>
                      </w:r>
                      <w:r w:rsidRPr="00D86888">
                        <w:rPr>
                          <w:rFonts w:ascii="Times New Roman" w:hAnsi="Times New Roman" w:cs="Times New Roman"/>
                        </w:rPr>
                        <w:t xml:space="preserve"> </w:t>
                      </w:r>
                      <w:r w:rsidRPr="00D86888">
                        <w:rPr>
                          <w:rFonts w:ascii="Times New Roman" w:eastAsia="Times New Roman" w:hAnsi="Times New Roman" w:cs="Times New Roman"/>
                          <w:color w:val="222222"/>
                        </w:rPr>
                        <w:t xml:space="preserve">In both 3(a) and 3(b) dark purple colors represent lower values and bright orange represents higher values. (c) The difference in percent of low frequency variance for all populations between the highest (slope=0.91) and smallest (slope=0.1) slopes. Differences in percent were calculated from output in 3(b): values in the furthest right column (when slope is=0.91) were subtracted from values in the furthest left column (when slope is=0.1) and plotted as bars in 3(c). </w:t>
                      </w:r>
                      <w:r w:rsidRPr="00D86888">
                        <w:rPr>
                          <w:rFonts w:ascii="Times New Roman" w:eastAsia="Times New Roman" w:hAnsi="Times New Roman" w:cs="Times New Roman"/>
                          <w:b/>
                          <w:color w:val="222222"/>
                        </w:rPr>
                        <w:t xml:space="preserve">Populations are in order by </w:t>
                      </w:r>
                      <w:r>
                        <w:rPr>
                          <w:rFonts w:ascii="Times New Roman" w:eastAsia="Times New Roman" w:hAnsi="Times New Roman" w:cs="Times New Roman"/>
                          <w:b/>
                          <w:color w:val="222222"/>
                        </w:rPr>
                        <w:t>CV of spawning biomass distribution</w:t>
                      </w:r>
                      <w:r w:rsidRPr="00D86888">
                        <w:rPr>
                          <w:rFonts w:ascii="Times New Roman" w:eastAsia="Times New Roman" w:hAnsi="Times New Roman" w:cs="Times New Roman"/>
                          <w:b/>
                          <w:color w:val="222222"/>
                        </w:rPr>
                        <w:t>.</w:t>
                      </w:r>
                      <w:r w:rsidRPr="00D86888">
                        <w:rPr>
                          <w:rFonts w:ascii="Times New Roman" w:eastAsia="Times New Roman" w:hAnsi="Times New Roman" w:cs="Times New Roman"/>
                          <w:color w:val="222222"/>
                        </w:rPr>
                        <w:t xml:space="preserve"> </w:t>
                      </w:r>
                    </w:p>
                    <w:p w:rsidR="00E47B1D" w:rsidRPr="00744D61" w:rsidRDefault="00E47B1D" w:rsidP="00E47B1D"/>
                    <w:p w:rsidR="00E47B1D" w:rsidRDefault="00E47B1D" w:rsidP="00E47B1D"/>
                  </w:txbxContent>
                </v:textbox>
                <w10:wrap type="square"/>
              </v:shape>
            </w:pict>
          </mc:Fallback>
        </mc:AlternateContent>
      </w:r>
    </w:p>
    <w:p w:rsidR="00AA2CE3" w:rsidRDefault="00EE0D39">
      <w:r>
        <w:rPr>
          <w:noProof/>
        </w:rPr>
        <w:drawing>
          <wp:anchor distT="0" distB="0" distL="114300" distR="114300" simplePos="0" relativeHeight="251658240" behindDoc="1" locked="0" layoutInCell="1" allowOverlap="1">
            <wp:simplePos x="0" y="0"/>
            <wp:positionH relativeFrom="margin">
              <wp:posOffset>-1808368</wp:posOffset>
            </wp:positionH>
            <wp:positionV relativeFrom="paragraph">
              <wp:posOffset>1631326</wp:posOffset>
            </wp:positionV>
            <wp:extent cx="7363758" cy="4016596"/>
            <wp:effectExtent l="0" t="2858" r="6033" b="6032"/>
            <wp:wrapTight wrapText="bothSides">
              <wp:wrapPolygon edited="0">
                <wp:start x="21608" y="15"/>
                <wp:lineTo x="38" y="15"/>
                <wp:lineTo x="38" y="21530"/>
                <wp:lineTo x="21608" y="21530"/>
                <wp:lineTo x="21608" y="1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363758" cy="4016596"/>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A2CE3" w:rsidSect="009D30F5">
      <w:headerReference w:type="default" r:id="rId13"/>
      <w:footerReference w:type="default" r:id="rId14"/>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E8E" w:rsidRDefault="00787E8E" w:rsidP="005E2769">
      <w:pPr>
        <w:spacing w:after="0" w:line="240" w:lineRule="auto"/>
      </w:pPr>
      <w:r>
        <w:separator/>
      </w:r>
    </w:p>
  </w:endnote>
  <w:endnote w:type="continuationSeparator" w:id="0">
    <w:p w:rsidR="00787E8E" w:rsidRDefault="00787E8E" w:rsidP="005E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133052"/>
      <w:docPartObj>
        <w:docPartGallery w:val="Page Numbers (Bottom of Page)"/>
        <w:docPartUnique/>
      </w:docPartObj>
    </w:sdtPr>
    <w:sdtEndPr>
      <w:rPr>
        <w:noProof/>
      </w:rPr>
    </w:sdtEndPr>
    <w:sdtContent>
      <w:p w:rsidR="00AA2CE3" w:rsidRDefault="00AA2C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A2CE3" w:rsidRDefault="00AA2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E8E" w:rsidRDefault="00787E8E" w:rsidP="005E2769">
      <w:pPr>
        <w:spacing w:after="0" w:line="240" w:lineRule="auto"/>
      </w:pPr>
      <w:r>
        <w:separator/>
      </w:r>
    </w:p>
  </w:footnote>
  <w:footnote w:type="continuationSeparator" w:id="0">
    <w:p w:rsidR="00787E8E" w:rsidRDefault="00787E8E" w:rsidP="005E27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769" w:rsidRPr="009D30F5" w:rsidRDefault="005E2769" w:rsidP="005E2769">
    <w:pPr>
      <w:pStyle w:val="Header"/>
      <w:rPr>
        <w:color w:val="808080" w:themeColor="background1" w:themeShade="80"/>
      </w:rPr>
    </w:pPr>
    <w:r w:rsidRPr="009D30F5">
      <w:rPr>
        <w:color w:val="808080" w:themeColor="background1" w:themeShade="80"/>
      </w:rPr>
      <w:t xml:space="preserve">Mortality parameter: </w:t>
    </w:r>
    <w:r w:rsidR="00EE0D39" w:rsidRPr="009D30F5">
      <w:rPr>
        <w:color w:val="808080" w:themeColor="background1" w:themeShade="80"/>
      </w:rPr>
      <w:t>Pauly</w:t>
    </w:r>
    <w:r w:rsidRPr="009D30F5">
      <w:rPr>
        <w:color w:val="808080" w:themeColor="background1" w:themeShade="80"/>
      </w:rPr>
      <w:t xml:space="preserve"> </w:t>
    </w:r>
    <w:r w:rsidRPr="009D30F5">
      <w:rPr>
        <w:color w:val="808080" w:themeColor="background1" w:themeShade="80"/>
      </w:rPr>
      <w:tab/>
      <w:t xml:space="preserve">                      </w:t>
    </w:r>
    <w:r w:rsidRPr="009D30F5">
      <w:rPr>
        <w:color w:val="808080" w:themeColor="background1" w:themeShade="80"/>
      </w:rPr>
      <w:tab/>
    </w:r>
    <w:proofErr w:type="spellStart"/>
    <w:r w:rsidRPr="009D30F5">
      <w:rPr>
        <w:color w:val="808080" w:themeColor="background1" w:themeShade="80"/>
      </w:rPr>
      <w:t>sigmaR</w:t>
    </w:r>
    <w:proofErr w:type="spellEnd"/>
    <w:r w:rsidRPr="009D30F5">
      <w:rPr>
        <w:color w:val="808080" w:themeColor="background1" w:themeShade="80"/>
      </w:rPr>
      <w:t xml:space="preserve"> = 0.3</w:t>
    </w:r>
  </w:p>
  <w:p w:rsidR="005E2769" w:rsidRPr="009D30F5" w:rsidRDefault="005E2769" w:rsidP="005E2769">
    <w:pPr>
      <w:pStyle w:val="Header"/>
      <w:rPr>
        <w:color w:val="808080" w:themeColor="background1" w:themeShade="80"/>
      </w:rPr>
    </w:pPr>
    <w:r w:rsidRPr="009D30F5">
      <w:rPr>
        <w:color w:val="808080" w:themeColor="background1" w:themeShade="80"/>
      </w:rPr>
      <w:t xml:space="preserve">Survivals on sub-diagonal:   </w:t>
    </w:r>
    <m:oMath>
      <m:sSup>
        <m:sSupPr>
          <m:ctrlPr>
            <w:rPr>
              <w:rFonts w:ascii="Cambria Math" w:hAnsi="Cambria Math"/>
              <w:i/>
              <w:color w:val="808080" w:themeColor="background1" w:themeShade="80"/>
            </w:rPr>
          </m:ctrlPr>
        </m:sSupPr>
        <m:e>
          <m:r>
            <w:rPr>
              <w:rFonts w:ascii="Cambria Math" w:hAnsi="Cambria Math"/>
              <w:color w:val="808080" w:themeColor="background1" w:themeShade="80"/>
            </w:rPr>
            <m:t>e</m:t>
          </m:r>
        </m:e>
        <m:sup>
          <m:r>
            <w:rPr>
              <w:rFonts w:ascii="Cambria Math" w:hAnsi="Cambria Math"/>
              <w:color w:val="808080" w:themeColor="background1" w:themeShade="80"/>
            </w:rPr>
            <m:t>-Pauly</m:t>
          </m:r>
        </m:sup>
      </m:sSup>
    </m:oMath>
    <w:r w:rsidRPr="009D30F5">
      <w:rPr>
        <w:rFonts w:eastAsiaTheme="minorEastAsia"/>
        <w:color w:val="808080" w:themeColor="background1" w:themeShade="80"/>
      </w:rPr>
      <w:tab/>
    </w:r>
    <w:r w:rsidRPr="009D30F5">
      <w:rPr>
        <w:rFonts w:eastAsiaTheme="minorEastAsia"/>
        <w:color w:val="808080" w:themeColor="background1" w:themeShade="80"/>
      </w:rPr>
      <w:tab/>
    </w:r>
    <w:r w:rsidRPr="009D30F5">
      <w:rPr>
        <w:color w:val="808080" w:themeColor="background1" w:themeShade="80"/>
      </w:rPr>
      <w:t xml:space="preserve">smoother for spectral analysis = 43 </w:t>
    </w:r>
    <w:proofErr w:type="spellStart"/>
    <w:r w:rsidRPr="009D30F5">
      <w:rPr>
        <w:color w:val="808080" w:themeColor="background1" w:themeShade="80"/>
      </w:rPr>
      <w:t>yr</w:t>
    </w:r>
    <w:proofErr w:type="spellEnd"/>
  </w:p>
  <w:p w:rsidR="005E2769" w:rsidRPr="009D30F5" w:rsidRDefault="005E2769">
    <w:pPr>
      <w:pStyle w:val="Header"/>
      <w:rPr>
        <w:color w:val="808080" w:themeColor="background1" w:themeShade="80"/>
      </w:rPr>
    </w:pPr>
    <w:r w:rsidRPr="009D30F5">
      <w:rPr>
        <w:color w:val="808080" w:themeColor="background1" w:themeShade="80"/>
      </w:rPr>
      <w:t xml:space="preserve">Fecundity-at-age adjustment: </w:t>
    </w:r>
    <w:r w:rsidRPr="009D30F5">
      <w:rPr>
        <w:rFonts w:eastAsiaTheme="minorEastAsia"/>
        <w:color w:val="808080" w:themeColor="background1" w:themeShade="80"/>
      </w:rPr>
      <w:t xml:space="preserve">  </w:t>
    </w:r>
    <m:oMath>
      <m:d>
        <m:dPr>
          <m:ctrlPr>
            <w:rPr>
              <w:rFonts w:ascii="Cambria Math" w:eastAsiaTheme="minorEastAsia" w:hAnsi="Cambria Math"/>
              <w:i/>
              <w:color w:val="808080" w:themeColor="background1" w:themeShade="80"/>
            </w:rPr>
          </m:ctrlPr>
        </m:dPr>
        <m:e>
          <m:f>
            <m:fPr>
              <m:type m:val="skw"/>
              <m:ctrlPr>
                <w:rPr>
                  <w:rFonts w:ascii="Cambria Math" w:eastAsiaTheme="minorEastAsia" w:hAnsi="Cambria Math"/>
                  <w:i/>
                  <w:color w:val="808080" w:themeColor="background1" w:themeShade="80"/>
                </w:rPr>
              </m:ctrlPr>
            </m:fPr>
            <m:num>
              <m:r>
                <w:rPr>
                  <w:rFonts w:ascii="Cambria Math" w:hAnsi="Cambria Math"/>
                  <w:color w:val="808080" w:themeColor="background1" w:themeShade="80"/>
                </w:rPr>
                <m:t>f*</m:t>
              </m:r>
              <m:d>
                <m:dPr>
                  <m:ctrlPr>
                    <w:rPr>
                      <w:rFonts w:ascii="Cambria Math" w:hAnsi="Cambria Math"/>
                      <w:i/>
                      <w:color w:val="808080" w:themeColor="background1" w:themeShade="80"/>
                    </w:rPr>
                  </m:ctrlPr>
                </m:dPr>
                <m:e>
                  <m:f>
                    <m:fPr>
                      <m:type m:val="lin"/>
                      <m:ctrlPr>
                        <w:rPr>
                          <w:rFonts w:ascii="Cambria Math" w:hAnsi="Cambria Math"/>
                          <w:i/>
                          <w:color w:val="808080" w:themeColor="background1" w:themeShade="80"/>
                        </w:rPr>
                      </m:ctrlPr>
                    </m:fPr>
                    <m:num>
                      <m:r>
                        <w:rPr>
                          <w:rFonts w:ascii="Cambria Math" w:hAnsi="Cambria Math"/>
                          <w:color w:val="808080" w:themeColor="background1" w:themeShade="80"/>
                        </w:rPr>
                        <m:t>15</m:t>
                      </m:r>
                    </m:num>
                    <m:den>
                      <m:r>
                        <w:rPr>
                          <w:rFonts w:ascii="Cambria Math" w:hAnsi="Cambria Math"/>
                          <w:color w:val="808080" w:themeColor="background1" w:themeShade="80"/>
                        </w:rPr>
                        <m:t>LEP</m:t>
                      </m:r>
                    </m:den>
                  </m:f>
                </m:e>
              </m:d>
            </m:num>
            <m:den>
              <m:r>
                <w:rPr>
                  <w:rFonts w:ascii="Cambria Math" w:eastAsiaTheme="minorEastAsia" w:hAnsi="Cambria Math"/>
                  <w:color w:val="808080" w:themeColor="background1" w:themeShade="80"/>
                </w:rPr>
                <m:t>maxage</m:t>
              </m:r>
            </m:den>
          </m:f>
        </m:e>
      </m:d>
      <m:r>
        <w:rPr>
          <w:rFonts w:ascii="Cambria Math" w:hAnsi="Cambria Math"/>
          <w:color w:val="808080" w:themeColor="background1" w:themeShade="80"/>
        </w:rPr>
        <m:t>*k</m:t>
      </m:r>
    </m:oMath>
    <w:r w:rsidRPr="009D30F5">
      <w:rPr>
        <w:rFonts w:eastAsiaTheme="minorEastAsia"/>
        <w:color w:val="808080" w:themeColor="background1" w:themeShade="8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E8F"/>
    <w:rsid w:val="004C1E8F"/>
    <w:rsid w:val="00595EA5"/>
    <w:rsid w:val="005E2769"/>
    <w:rsid w:val="00787E8E"/>
    <w:rsid w:val="007B7BBE"/>
    <w:rsid w:val="009D30F5"/>
    <w:rsid w:val="00AA2CE3"/>
    <w:rsid w:val="00B679D2"/>
    <w:rsid w:val="00CF2FDF"/>
    <w:rsid w:val="00E47B1D"/>
    <w:rsid w:val="00EE0D39"/>
    <w:rsid w:val="00F256C5"/>
    <w:rsid w:val="00F60413"/>
    <w:rsid w:val="00FA177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4D863"/>
  <w15:chartTrackingRefBased/>
  <w15:docId w15:val="{5FF2BE8F-0D01-41AD-8672-086D2341F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27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2769"/>
  </w:style>
  <w:style w:type="paragraph" w:styleId="Footer">
    <w:name w:val="footer"/>
    <w:basedOn w:val="Normal"/>
    <w:link w:val="FooterChar"/>
    <w:uiPriority w:val="99"/>
    <w:unhideWhenUsed/>
    <w:rsid w:val="005E2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tif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2798</TotalTime>
  <Pages>7</Pages>
  <Words>83</Words>
  <Characters>478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Mikaela Provost</dc:creator>
  <cp:keywords/>
  <dc:description/>
  <cp:lastModifiedBy>Mikaela Provost</cp:lastModifiedBy>
  <cp:revision>5</cp:revision>
  <dcterms:created xsi:type="dcterms:W3CDTF">2019-06-29T18:23:00Z</dcterms:created>
  <dcterms:modified xsi:type="dcterms:W3CDTF">2019-07-03T17:41:00Z</dcterms:modified>
</cp:coreProperties>
</file>