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6319e6a455a022a6ff39206bd8bb91ddbfb90d"/>
    <w:p>
      <w:pPr>
        <w:pStyle w:val="Heading1"/>
      </w:pPr>
      <w:r>
        <w:t xml:space="preserve">Proposal to Acme Corp — Enterprise Data Platform</w:t>
      </w:r>
    </w:p>
    <w:p>
      <w:pPr>
        <w:pStyle w:val="FirstParagraph"/>
      </w:pPr>
      <w:r>
        <w:rPr>
          <w:b/>
          <w:bCs/>
        </w:rPr>
        <w:t xml:space="preserve">Prepared by BTS-Synthetic for Acme Corp</w:t>
      </w:r>
      <w:r>
        <w:t xml:space="preserve"> </w:t>
      </w:r>
      <w:r>
        <w:rPr>
          <w:b/>
          <w:bCs/>
        </w:rPr>
        <w:t xml:space="preserve">Date: 18 July 2026</w:t>
      </w:r>
      <w:r>
        <w:t xml:space="preserve"> </w:t>
      </w:r>
      <w:r>
        <w:rPr>
          <w:b/>
          <w:bCs/>
        </w:rPr>
        <w:t xml:space="preserve">In response to: Acme Corp Enterprise Data Platform RFP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Lowest true 5-year cost at Acme’s real workload.</w:t>
      </w:r>
      <w:r>
        <w:t xml:space="preserve"> </w:t>
      </w:r>
      <w:r>
        <w:t xml:space="preserve">BTS-Synthetic wins on transparent, fixed 5-year Total Cost of Ownership at Acme’s actual profile — 40,000 devices, 80,000 events/second peak, 280 TB growing 12 TB/month — not on a headline license price. This is the same comparison that won us near-identical industrial/IoT deals against Microsoft Fabric and Snowflake.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most mature real-time ingest, governance, and Power BI story in the market.</w:t>
      </w:r>
      <w:r>
        <w:t xml:space="preserve"> </w:t>
      </w:r>
      <w:r>
        <w:t xml:space="preserve">Native streaming tested to 250,000 events/second (3x Acme’s peak), per-table EU data residency with ABAC and PII masking, and a dedicated Power BI DirectQuery adapter — our most mature BI integration — directly answering Acme’s non-negotiable 600-user Power BI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Open, portable, multi-cloud by design.</w:t>
      </w:r>
      <w:r>
        <w:t xml:space="preserve"> </w:t>
      </w:r>
      <w:r>
        <w:t xml:space="preserve">An open-format lakehouse (Delta / Iceberg / Parquet) on your Azure footprint means no proprietary lock-in and full portability — combined with an IP licence-back model that gives Acme complete usage rights to all custom work.</w:t>
      </w:r>
    </w:p>
    <w:p>
      <w:r>
        <w:pict>
          <v:rect style="width:0;height:1.5pt" o:hralign="center" o:hrstd="t" o:hr="t"/>
        </w:pict>
      </w:r>
    </w:p>
    <w:bookmarkEnd w:id="9"/>
    <w:bookmarkStart w:id="10" w:name="our-understanding-of-acmes-need"/>
    <w:p>
      <w:pPr>
        <w:pStyle w:val="Heading2"/>
      </w:pPr>
      <w:r>
        <w:t xml:space="preserve">2. Our understanding of Acme’s need</w:t>
      </w:r>
    </w:p>
    <w:p>
      <w:pPr>
        <w:pStyle w:val="FirstParagraph"/>
      </w:pPr>
      <w:r>
        <w:t xml:space="preserve">Acme Corp is a global industrial manufacturer — approximately $1.4B in revenue, 7,200 employees, manufacturing across Mexico, Vietnam, and Romania with R&amp;D in Austin and Munich — modernizing its data estate. As we read the RFP, Acme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Decommissioning legacy Teradata warehouses through 2027</w:t>
      </w:r>
      <w:r>
        <w:t xml:space="preserve"> </w:t>
      </w:r>
      <w:r>
        <w:t xml:space="preserve">and consolidating onto a modern lakehouse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Ingesting at industrial IoT scale:</w:t>
      </w:r>
      <w:r>
        <w:t xml:space="preserve"> </w:t>
      </w:r>
      <w:r>
        <w:t xml:space="preserve">a fleet of ~40,000 connected devices producing a peak of 80,000 events/second, alongside 30+ internal batch sources feeding a 280 TB estate that grows ~12 TB/month.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Standardizing analytics on Power BI</w:t>
      </w:r>
      <w:r>
        <w:t xml:space="preserve"> </w:t>
      </w:r>
      <w:r>
        <w:t xml:space="preserve">for 600 analysts and executives — an explicitly non-negotiable requirement — while equipping ~150 data engineers with self-service data preparation.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Operating under strict governance:</w:t>
      </w:r>
      <w:r>
        <w:t xml:space="preserve"> </w:t>
      </w:r>
      <w:r>
        <w:t xml:space="preserve">multi-region deployment with EU as primary and US East as secondary, per-table EU data residency, attribute-based access control, and column-level PII masking.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Planning predictive-maintenance ML</w:t>
      </w:r>
      <w:r>
        <w:t xml:space="preserve"> </w:t>
      </w:r>
      <w:r>
        <w:t xml:space="preserve">as a next phase, not yet in production.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Buying for the long term:</w:t>
      </w:r>
      <w:r>
        <w:t xml:space="preserve"> </w:t>
      </w:r>
      <w:r>
        <w:t xml:space="preserve">a 3-year initial term plus a 2-year renewal option, with pricing certainty across the full horizon.</w:t>
      </w:r>
    </w:p>
    <w:p>
      <w:pPr>
        <w:pStyle w:val="FirstParagraph"/>
      </w:pPr>
      <w:r>
        <w:t xml:space="preserve">Acme is a Microsoft/Azure shop, and its evaluation weights functional fit (30%), commercial terms (25%), total cost of ownership (20%), and implementation risk (15%) most heavily. Our response is built to lead on exactly those dimensions.</w:t>
      </w:r>
    </w:p>
    <w:p>
      <w:r>
        <w:pict>
          <v:rect style="width:0;height:1.5pt" o:hralign="center" o:hrstd="t" o:hr="t"/>
        </w:pict>
      </w:r>
    </w:p>
    <w:bookmarkEnd w:id="10"/>
    <w:bookmarkStart w:id="17" w:name="why-bts-synthetic-is-the-right-fit"/>
    <w:p>
      <w:pPr>
        <w:pStyle w:val="Heading2"/>
      </w:pPr>
      <w:r>
        <w:t xml:space="preserve">3. Why BTS-Synthetic is the right fit</w:t>
      </w:r>
    </w:p>
    <w:p>
      <w:pPr>
        <w:pStyle w:val="FirstParagraph"/>
      </w:pPr>
      <w:r>
        <w:t xml:space="preserve">We meet or exceed every functional and scale requirement in the RFP, and we differentiate on the areas Acme weights most heavily. Where our standard offering differs from a requirement, we say so plainly and propose a path.</w:t>
      </w:r>
    </w:p>
    <w:bookmarkStart w:id="11" w:name="real-time-ingest-maturity-at-acmes-scale"/>
    <w:p>
      <w:pPr>
        <w:pStyle w:val="Heading3"/>
      </w:pPr>
      <w:r>
        <w:t xml:space="preserve">Real-time ingest maturity at Acme’s scale</w:t>
      </w:r>
    </w:p>
    <w:p>
      <w:pPr>
        <w:pStyle w:val="FirstParagraph"/>
      </w:pPr>
      <w:r>
        <w:t xml:space="preserve">Native Kafka/Kinesis streaming is tested to</w:t>
      </w:r>
      <w:r>
        <w:t xml:space="preserve"> </w:t>
      </w:r>
      <w:r>
        <w:rPr>
          <w:b/>
          <w:bCs/>
        </w:rPr>
        <w:t xml:space="preserve">250,000 events/second</w:t>
      </w:r>
      <w:r>
        <w:t xml:space="preserve"> </w:t>
      </w:r>
      <w:r>
        <w:t xml:space="preserve">in a single region — 3.1x headroom over Acme’s 80,000/second peak. This is the same real-time ingest maturity that won us a near-identical industrial/IoT deal (40K devices, comparable event rates) against Microsoft Fabric, where the competing</w:t>
      </w:r>
      <w:r>
        <w:t xml:space="preserve"> </w:t>
      </w:r>
      <w:r>
        <w:t xml:space="preserve">“free with E5”</w:t>
      </w:r>
      <w:r>
        <w:t xml:space="preserve"> </w:t>
      </w:r>
      <w:r>
        <w:t xml:space="preserve">bundle could not hold the SLA at peak rates. Real-time performance at scale is core to this platform, not a bolt-on.</w:t>
      </w:r>
    </w:p>
    <w:bookmarkEnd w:id="11"/>
    <w:bookmarkStart w:id="12" w:name="X010940843bc0115b6785d004de8685ab46f40ec"/>
    <w:p>
      <w:pPr>
        <w:pStyle w:val="Heading3"/>
      </w:pPr>
      <w:r>
        <w:t xml:space="preserve">Governance built for regulated, multi-region operations</w:t>
      </w:r>
    </w:p>
    <w:p>
      <w:pPr>
        <w:pStyle w:val="FirstParagraph"/>
      </w:pPr>
      <w:r>
        <w:t xml:space="preserve">Acme’s per-table EU residency, ABAC, and PII-masking requirements are precisely the governance profile our platform is hardened for after 8+ years in production for industrial customers:</w:t>
      </w:r>
    </w:p>
    <w:p>
      <w:pPr>
        <w:pStyle w:val="Compact"/>
        <w:numPr>
          <w:ilvl w:val="0"/>
          <w:numId w:val="1003"/>
        </w:numPr>
      </w:pPr>
      <w:r>
        <w:t xml:space="preserve">Per-table data residency — EU tables pinned to EU regions, enforced, not merely region-isolated.</w:t>
      </w:r>
    </w:p>
    <w:p>
      <w:pPr>
        <w:pStyle w:val="Compact"/>
        <w:numPr>
          <w:ilvl w:val="0"/>
          <w:numId w:val="1003"/>
        </w:numPr>
      </w:pPr>
      <w:r>
        <w:t xml:space="preserve">Row- and column-level security with attribute-based access control across your 150 engineers and 600 analysts.</w:t>
      </w:r>
    </w:p>
    <w:p>
      <w:pPr>
        <w:pStyle w:val="Compact"/>
        <w:numPr>
          <w:ilvl w:val="0"/>
          <w:numId w:val="1003"/>
        </w:numPr>
      </w:pPr>
      <w:r>
        <w:t xml:space="preserve">Built-in PII detection and masking, with exportable audit logs to Acme’s SIEM.</w:t>
      </w:r>
    </w:p>
    <w:bookmarkEnd w:id="12"/>
    <w:bookmarkStart w:id="13" w:name="X3227740603c4c6c4f873603b78871ba413f11da"/>
    <w:p>
      <w:pPr>
        <w:pStyle w:val="Heading3"/>
      </w:pPr>
      <w:r>
        <w:t xml:space="preserve">The most mature Power BI integration in the market</w:t>
      </w:r>
    </w:p>
    <w:p>
      <w:pPr>
        <w:pStyle w:val="FirstParagraph"/>
      </w:pPr>
      <w:r>
        <w:t xml:space="preserve">Acme’s one non-negotiable requirement — native Power BI for 600 users — is answered by our</w:t>
      </w:r>
      <w:r>
        <w:t xml:space="preserve"> </w:t>
      </w:r>
      <w:r>
        <w:rPr>
          <w:b/>
          <w:bCs/>
        </w:rPr>
        <w:t xml:space="preserve">dedicated DirectQuery adapter</w:t>
      </w:r>
      <w:r>
        <w:t xml:space="preserve">, our most mature BI integration. You are not choosing us for BI features; you are choosing us for the 280 TB lakehouse, governance, and real-time ingest that power those 600 Power BI users reliably.</w:t>
      </w:r>
    </w:p>
    <w:bookmarkEnd w:id="13"/>
    <w:bookmarkStart w:id="14" w:name="open-formats-multi-cloud-no-lock-in"/>
    <w:p>
      <w:pPr>
        <w:pStyle w:val="Heading3"/>
      </w:pPr>
      <w:r>
        <w:t xml:space="preserve">Open formats, multi-cloud, no lock-in</w:t>
      </w:r>
    </w:p>
    <w:p>
      <w:pPr>
        <w:pStyle w:val="FirstParagraph"/>
      </w:pPr>
      <w:r>
        <w:t xml:space="preserve">A native lakehouse supporting</w:t>
      </w:r>
      <w:r>
        <w:t xml:space="preserve"> </w:t>
      </w:r>
      <w:r>
        <w:rPr>
          <w:b/>
          <w:bCs/>
        </w:rPr>
        <w:t xml:space="preserve">Delta, Iceberg, and Parquet</w:t>
      </w:r>
      <w:r>
        <w:t xml:space="preserve"> </w:t>
      </w:r>
      <w:r>
        <w:t xml:space="preserve">on your Azure Blob storage means your data stays in open formats you can move — portability and no proprietary exit tax. This directly addresses the portability requirement in the RFP and distinguishes us from single-vendor, closed-format alternatives.</w:t>
      </w:r>
    </w:p>
    <w:bookmarkEnd w:id="14"/>
    <w:bookmarkStart w:id="15" w:name="coverage-across-the-full-requirement-set"/>
    <w:p>
      <w:pPr>
        <w:pStyle w:val="Heading3"/>
      </w:pPr>
      <w:r>
        <w:t xml:space="preserve">Coverage across the full requirement 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we meet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ingest, 40K devices, 80K events/sec peak</w:t>
            </w:r>
          </w:p>
        </w:tc>
        <w:tc>
          <w:tcPr/>
          <w:p>
            <w:pPr>
              <w:pStyle w:val="Compact"/>
            </w:pPr>
            <w:r>
              <w:t xml:space="preserve">Native streaming tested to 250K events/sec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ETL from 30+ internal sources</w:t>
            </w:r>
          </w:p>
        </w:tc>
        <w:tc>
          <w:tcPr/>
          <w:p>
            <w:pPr>
              <w:pStyle w:val="Compact"/>
            </w:pPr>
            <w:r>
              <w:t xml:space="preserve">80+ prebuilt connectors (Salesforce, SAP, NetSuite, common DBs) + CDC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Power BI, 600 users</w:t>
            </w:r>
          </w:p>
        </w:tc>
        <w:tc>
          <w:tcPr/>
          <w:p>
            <w:pPr>
              <w:pStyle w:val="Compact"/>
            </w:pPr>
            <w:r>
              <w:t xml:space="preserve">Certified integration with dedicated DirectQuery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Lakehouse, open formats (Delta/Iceberg/Parquet)</w:t>
            </w:r>
          </w:p>
        </w:tc>
        <w:tc>
          <w:tcPr/>
          <w:p>
            <w:pPr>
              <w:pStyle w:val="Compact"/>
            </w:pPr>
            <w:r>
              <w:t xml:space="preserve">Native lakehouse supporting all three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Multi-region, EU primary / US East secondary</w:t>
            </w:r>
          </w:p>
        </w:tc>
        <w:tc>
          <w:tcPr/>
          <w:p>
            <w:pPr>
              <w:pStyle w:val="Compact"/>
            </w:pPr>
            <w:r>
              <w:t xml:space="preserve">Multi-cloud, multi-region; native Azure Blob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data residency</w:t>
            </w:r>
          </w:p>
        </w:tc>
        <w:tc>
          <w:tcPr/>
          <w:p>
            <w:pPr>
              <w:pStyle w:val="Compact"/>
            </w:pPr>
            <w:r>
              <w:t xml:space="preserve">Per-table residency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ABAC, PII handling</w:t>
            </w:r>
          </w:p>
        </w:tc>
        <w:tc>
          <w:tcPr/>
          <w:p>
            <w:pPr>
              <w:pStyle w:val="Compact"/>
            </w:pPr>
            <w:r>
              <w:t xml:space="preserve">Row/column security with ABAC; built-in PII detection &amp; masking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Predictive-maintenance ML (planned)</w:t>
            </w:r>
          </w:p>
        </w:tc>
        <w:tc>
          <w:tcPr/>
          <w:p>
            <w:pPr>
              <w:pStyle w:val="Compact"/>
            </w:pPr>
            <w:r>
              <w:t xml:space="preserve">Model registry, feature store, autoscaling serving; BYO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Self-service prep for ~150 engineers</w:t>
            </w:r>
          </w:p>
        </w:tc>
        <w:tc>
          <w:tcPr/>
          <w:p>
            <w:pPr>
              <w:pStyle w:val="Compact"/>
            </w:pPr>
            <w:r>
              <w:t xml:space="preserve">Low-code data prep interface</w:t>
            </w:r>
          </w:p>
        </w:tc>
      </w:tr>
    </w:tbl>
    <w:bookmarkEnd w:id="15"/>
    <w:bookmarkStart w:id="16" w:name="where-we-are-transparent-about-fit"/>
    <w:p>
      <w:pPr>
        <w:pStyle w:val="Heading3"/>
      </w:pPr>
      <w:r>
        <w:t xml:space="preserve">Where we are transparent about fit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 levels (RFP §4.3).</w:t>
      </w:r>
      <w:r>
        <w:t xml:space="preserve"> </w:t>
      </w:r>
      <w:r>
        <w:t xml:space="preserve">Our standard Enterprise SLA is</w:t>
      </w:r>
      <w:r>
        <w:t xml:space="preserve"> </w:t>
      </w:r>
      <w:r>
        <w:rPr>
          <w:b/>
          <w:bCs/>
        </w:rPr>
        <w:t xml:space="preserve">99.95% monthly uptime</w:t>
      </w:r>
      <w:r>
        <w:t xml:space="preserve"> </w:t>
      </w:r>
      <w:r>
        <w:t xml:space="preserve">with service credits as the remedy. We also offer a</w:t>
      </w:r>
      <w:r>
        <w:t xml:space="preserve"> </w:t>
      </w:r>
      <w:r>
        <w:rPr>
          <w:b/>
          <w:bCs/>
        </w:rPr>
        <w:t xml:space="preserve">99.99% active-active option</w:t>
      </w:r>
      <w:r>
        <w:t xml:space="preserve"> </w:t>
      </w:r>
      <w:r>
        <w:t xml:space="preserve">built on bespoke multi-region active-active architecture, available as a priced add-on. We would welcome a conversation on the right target for Acme; we will always commit to what we can reliably deliver rather than over-promise on paper.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Query performance at scale.</w:t>
      </w:r>
      <w:r>
        <w:t xml:space="preserve"> </w:t>
      </w:r>
      <w:r>
        <w:t xml:space="preserve">Our sub-second SQL performance is validated for warmed working sets; we would confirm Acme’s actual</w:t>
      </w:r>
      <w:r>
        <w:t xml:space="preserve"> </w:t>
      </w:r>
      <w:r>
        <w:t xml:space="preserve">“hot”</w:t>
      </w:r>
      <w:r>
        <w:t xml:space="preserve"> </w:t>
      </w:r>
      <w:r>
        <w:t xml:space="preserve">working-set size during discovery before quoting specific performance numbers, so any commitment we make is one we can stand behind.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Implementation horizon.</w:t>
      </w:r>
      <w:r>
        <w:t xml:space="preserve"> </w:t>
      </w:r>
      <w:r>
        <w:t xml:space="preserve">Given the scope — full Teradata migration, multi-region rollout, 30+ sources, and a 40K-device streaming buildout — we scope this as a</w:t>
      </w:r>
      <w:r>
        <w:t xml:space="preserve"> </w:t>
      </w:r>
      <w:r>
        <w:rPr>
          <w:b/>
          <w:bCs/>
        </w:rPr>
        <w:t xml:space="preserve">24-week core delivery</w:t>
      </w:r>
      <w:r>
        <w:t xml:space="preserve"> </w:t>
      </w:r>
      <w:r>
        <w:t xml:space="preserve">(our large / multi-region / multi-source band), which we detail in Section 5.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commercial-proposal"/>
    <w:p>
      <w:pPr>
        <w:pStyle w:val="Heading2"/>
      </w:pPr>
      <w:r>
        <w:t xml:space="preserve">4. Commercial proposal</w:t>
      </w:r>
    </w:p>
    <w:p>
      <w:pPr>
        <w:pStyle w:val="FirstParagraph"/>
      </w:pPr>
      <w:r>
        <w:t xml:space="preserve">Our commercial approach is built around what the RFP asks for most directly:</w:t>
      </w:r>
      <w:r>
        <w:t xml:space="preserve"> </w:t>
      </w:r>
      <w:r>
        <w:rPr>
          <w:b/>
          <w:bCs/>
        </w:rPr>
        <w:t xml:space="preserve">full pricing transparency across five years, fixed at signature.</w:t>
      </w:r>
      <w:r>
        <w:t xml:space="preserve"> </w:t>
      </w:r>
      <w:r>
        <w:t xml:space="preserve">We can meet that.</w:t>
      </w:r>
    </w:p>
    <w:bookmarkStart w:id="18" w:name="the-offer"/>
    <w:p>
      <w:pPr>
        <w:pStyle w:val="Heading3"/>
      </w:pPr>
      <w:r>
        <w:t xml:space="preserve">The offer</w:t>
      </w:r>
    </w:p>
    <w:p>
      <w:pPr>
        <w:pStyle w:val="FirstParagraph"/>
      </w:pPr>
      <w:r>
        <w:t xml:space="preserve">We propose our</w:t>
      </w:r>
      <w:r>
        <w:t xml:space="preserve"> </w:t>
      </w:r>
      <w:r>
        <w:rPr>
          <w:b/>
          <w:bCs/>
        </w:rPr>
        <w:t xml:space="preserve">Enterprise tier</w:t>
      </w:r>
      <w:r>
        <w:t xml:space="preserve"> </w:t>
      </w:r>
      <w:r>
        <w:t xml:space="preserve">at a</w:t>
      </w:r>
      <w:r>
        <w:t xml:space="preserve"> </w:t>
      </w:r>
      <w:r>
        <w:rPr>
          <w:b/>
          <w:bCs/>
        </w:rPr>
        <w:t xml:space="preserve">strategic discount, held fixed across all five years with no escalators</w:t>
      </w:r>
      <w:r>
        <w:t xml:space="preserve"> </w:t>
      </w:r>
      <w:r>
        <w:t xml:space="preserve">— honoring Acme’s requirement for a locked, transparent five-year price. The table below is the complete five-year picture, including the optional 99.99% active-active SLA tier so Acme sees the whole number, not just a license line.</w:t>
      </w:r>
    </w:p>
    <w:bookmarkEnd w:id="18"/>
    <w:bookmarkStart w:id="19" w:name="transparent-5-year-pricing"/>
    <w:p>
      <w:pPr>
        <w:pStyle w:val="Heading3"/>
      </w:pPr>
      <w:r>
        <w:t xml:space="preserve">Transparent 5-year 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Platform (net)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99.99% active-active SLA option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all-in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(renewal)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(renewal)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$2,700,000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$3,200,000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The platform price is</w:t>
      </w:r>
      <w:r>
        <w:t xml:space="preserve"> </w:t>
      </w:r>
      <w:r>
        <w:rPr>
          <w:b/>
          <w:bCs/>
        </w:rPr>
        <w:t xml:space="preserve">flat every year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“full pricing transparency for 5 years”</w:t>
      </w:r>
      <w:r>
        <w:t xml:space="preserve"> </w:t>
      </w:r>
      <w:r>
        <w:t xml:space="preserve">the RFP calls for.</w:t>
      </w:r>
    </w:p>
    <w:p>
      <w:pPr>
        <w:pStyle w:val="Compact"/>
        <w:numPr>
          <w:ilvl w:val="0"/>
          <w:numId w:val="1005"/>
        </w:numPr>
      </w:pPr>
      <w:r>
        <w:t xml:space="preserve">The 99.99% active-active SLA line is a genuinely incremental scope option (bespoke multi-region active-active architecture); at the 99.95% Enterprise standard it is not required. We show it so the five-year number is complete either way.</w:t>
      </w:r>
    </w:p>
    <w:bookmarkEnd w:id="19"/>
    <w:bookmarkStart w:id="20" w:name="on-the-discount-level"/>
    <w:p>
      <w:pPr>
        <w:pStyle w:val="Heading3"/>
      </w:pPr>
      <w:r>
        <w:t xml:space="preserve">On the discount level</w:t>
      </w:r>
    </w:p>
    <w:p>
      <w:pPr>
        <w:pStyle w:val="FirstParagraph"/>
      </w:pPr>
      <w:r>
        <w:t xml:space="preserve">We recognize the RFP sets an ambitious discount target. We want to be a straight partner with Acme here: rather than a deeper headline discount that quietly escalates year over year, we are offering our</w:t>
      </w:r>
      <w:r>
        <w:t xml:space="preserve"> </w:t>
      </w:r>
      <w:r>
        <w:rPr>
          <w:b/>
          <w:bCs/>
        </w:rPr>
        <w:t xml:space="preserve">strongest fixed price, locked flat for all five years</w:t>
      </w:r>
      <w:r>
        <w:t xml:space="preserve">. In practice, a flat five-year price beats a larger opening discount that then rises with inflation each year — Acme gets both a strong rate and complete certainty. We’d welcome the chance to align on the target together and walk through the lifetime numbers side by side; we’re confident the transparent five-year total is where we win.</w:t>
      </w:r>
    </w:p>
    <w:p>
      <w:pPr>
        <w:pStyle w:val="BodyText"/>
      </w:pPr>
      <w:r>
        <w:rPr>
          <w:b/>
          <w:bCs/>
        </w:rPr>
        <w:t xml:space="preserve">Why this is the lowest true cost.</w:t>
      </w:r>
      <w:r>
        <w:t xml:space="preserve"> </w:t>
      </w:r>
      <w:r>
        <w:t xml:space="preserve">Against a Microsoft Fabric</w:t>
      </w:r>
      <w:r>
        <w:t xml:space="preserve"> </w:t>
      </w:r>
      <w:r>
        <w:t xml:space="preserve">“free with E5”</w:t>
      </w:r>
      <w:r>
        <w:t xml:space="preserve"> </w:t>
      </w:r>
      <w:r>
        <w:t xml:space="preserve">headline, the five-year reality includes the consulting hours to actually stand up real-time IoT ingest, EU-residency governance, and 600-user Power BI; continuously billed peak-capacity provisioning for 80K events/second; and eventual migration cost out of proprietary formats. Our $3.2M is the whole, fixed, transparent five-year number — the same comparison that won us near-identical IoT and manufacturing deals against Fabric and Snowflake.</w:t>
      </w:r>
    </w:p>
    <w:bookmarkEnd w:id="20"/>
    <w:bookmarkStart w:id="21" w:name="term-and-payment"/>
    <w:p>
      <w:pPr>
        <w:pStyle w:val="Heading3"/>
      </w:pPr>
      <w:r>
        <w:t xml:space="preserve">Term and payment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3-year initial term with a 2-year renewal option, priced as shown.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Payment:</w:t>
      </w:r>
      <w:r>
        <w:t xml:space="preserve"> </w:t>
      </w:r>
      <w:r>
        <w:t xml:space="preserve">annual in advance. We can offer</w:t>
      </w:r>
      <w:r>
        <w:t xml:space="preserve"> </w:t>
      </w:r>
      <w:r>
        <w:rPr>
          <w:b/>
          <w:bCs/>
        </w:rPr>
        <w:t xml:space="preserve">Net 60</w:t>
      </w:r>
      <w:r>
        <w:t xml:space="preserve"> </w:t>
      </w:r>
      <w:r>
        <w:t xml:space="preserve">terms, and</w:t>
      </w:r>
      <w:r>
        <w:t xml:space="preserve"> </w:t>
      </w:r>
      <w:r>
        <w:rPr>
          <w:b/>
          <w:bCs/>
        </w:rPr>
        <w:t xml:space="preserve">quarterly billing at no change in price</w:t>
      </w:r>
      <w:r>
        <w:t xml:space="preserve"> </w:t>
      </w:r>
      <w:r>
        <w:t xml:space="preserve">if that better suits Acme’s cash-flow preferences.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t xml:space="preserve">We scope this as a</w:t>
      </w:r>
      <w:r>
        <w:t xml:space="preserve"> </w:t>
      </w:r>
      <w:r>
        <w:rPr>
          <w:b/>
          <w:bCs/>
        </w:rPr>
        <w:t xml:space="preserve">24-week core delivery</w:t>
      </w:r>
      <w:r>
        <w:t xml:space="preserve">, baselined to the first full week after award, with Teradata decommission tail-waves continuing through 2027 in step with Acme’s own sunset schedule. The phases below run largely in parallel — that concurrency is how this much scope lands in 24 weeks — with hard exit gates at each stage.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Timing (approx.)</w:t>
            </w:r>
          </w:p>
        </w:tc>
        <w:tc>
          <w:tcPr/>
          <w:p>
            <w:pPr>
              <w:pStyle w:val="Compact"/>
            </w:pPr>
            <w:r>
              <w:t xml:space="preserve">Key milestone / exit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Discovery &amp; Mobilization</w:t>
            </w:r>
          </w:p>
        </w:tc>
        <w:tc>
          <w:tcPr/>
          <w:p>
            <w:pPr>
              <w:pStyle w:val="Compact"/>
            </w:pPr>
            <w:r>
              <w:t xml:space="preserve">W1–W3</w:t>
            </w:r>
          </w:p>
        </w:tc>
        <w:tc>
          <w:tcPr/>
          <w:p>
            <w:pPr>
              <w:pStyle w:val="Compact"/>
            </w:pPr>
            <w:r>
              <w:t xml:space="preserve">Jul–Jul ’26</w:t>
            </w:r>
          </w:p>
        </w:tc>
        <w:tc>
          <w:tcPr/>
          <w:p>
            <w:pPr>
              <w:pStyle w:val="Compact"/>
            </w:pPr>
            <w:r>
              <w:t xml:space="preserve">Source inventory confirmed; 40K-device fleet profiled; per-table EU residency map signed; target architecture approved by CDO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Landing Zone (Azure) &amp; Residency</w:t>
            </w:r>
          </w:p>
        </w:tc>
        <w:tc>
          <w:tcPr/>
          <w:p>
            <w:pPr>
              <w:pStyle w:val="Compact"/>
            </w:pPr>
            <w:r>
              <w:t xml:space="preserve">W2–W6</w:t>
            </w:r>
          </w:p>
        </w:tc>
        <w:tc>
          <w:tcPr/>
          <w:p>
            <w:pPr>
              <w:pStyle w:val="Compact"/>
            </w:pPr>
            <w:r>
              <w:t xml:space="preserve">Jul–Aug ’26</w:t>
            </w:r>
          </w:p>
        </w:tc>
        <w:tc>
          <w:tcPr/>
          <w:p>
            <w:pPr>
              <w:pStyle w:val="Compact"/>
            </w:pPr>
            <w:r>
              <w:t xml:space="preserve">Active-active landing zone (EU primary / US-East secondary); per-region residency pinning; catalog + ABAC + PII masking; audit-log export. Gate: security review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Real-time Ingest Onboarding</w:t>
            </w:r>
          </w:p>
        </w:tc>
        <w:tc>
          <w:tcPr/>
          <w:p>
            <w:pPr>
              <w:pStyle w:val="Compact"/>
            </w:pPr>
            <w:r>
              <w:t xml:space="preserve">W5–W12</w:t>
            </w:r>
          </w:p>
        </w:tc>
        <w:tc>
          <w:tcPr/>
          <w:p>
            <w:pPr>
              <w:pStyle w:val="Compact"/>
            </w:pPr>
            <w:r>
              <w:t xml:space="preserve">Aug–Oct ’26</w:t>
            </w:r>
          </w:p>
        </w:tc>
        <w:tc>
          <w:tcPr/>
          <w:p>
            <w:pPr>
              <w:pStyle w:val="Compact"/>
            </w:pPr>
            <w:r>
              <w:t xml:space="preserve">Streaming live; pilot cohort → full 40K-device fleet by facility wave; load-tested to 160K events/sec (2x peak). Gate: full fleet streaming at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Batch ETL + CDC (30+ sources)</w:t>
            </w:r>
          </w:p>
        </w:tc>
        <w:tc>
          <w:tcPr/>
          <w:p>
            <w:pPr>
              <w:pStyle w:val="Compact"/>
            </w:pPr>
            <w:r>
              <w:t xml:space="preserve">W6–W16</w:t>
            </w:r>
          </w:p>
        </w:tc>
        <w:tc>
          <w:tcPr/>
          <w:p>
            <w:pPr>
              <w:pStyle w:val="Compact"/>
            </w:pPr>
            <w:r>
              <w:t xml:space="preserve">Aug–Nov ’26</w:t>
            </w:r>
          </w:p>
        </w:tc>
        <w:tc>
          <w:tcPr/>
          <w:p>
            <w:pPr>
              <w:pStyle w:val="Compact"/>
            </w:pPr>
            <w:r>
              <w:t xml:space="preserve">Connectors + CDC delivered in three waves. Gate: all 30+ sources landing with reconciliation within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Power BI DirectQuery Cutover</w:t>
            </w:r>
          </w:p>
        </w:tc>
        <w:tc>
          <w:tcPr/>
          <w:p>
            <w:pPr>
              <w:pStyle w:val="Compact"/>
            </w:pPr>
            <w:r>
              <w:t xml:space="preserve">W10–W18</w:t>
            </w:r>
          </w:p>
        </w:tc>
        <w:tc>
          <w:tcPr/>
          <w:p>
            <w:pPr>
              <w:pStyle w:val="Compact"/>
            </w:pPr>
            <w:r>
              <w:t xml:space="preserve">Sep–Nov ’26</w:t>
            </w:r>
          </w:p>
        </w:tc>
        <w:tc>
          <w:tcPr/>
          <w:p>
            <w:pPr>
              <w:pStyle w:val="Compact"/>
            </w:pPr>
            <w:r>
              <w:t xml:space="preserve">DirectQuery adapter deployed; gold-layer models; phased cutover of 600 analysts + 150 engineers. Gate: 600 users live, report parity 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Teradata Migration &amp; Decommission</w:t>
            </w:r>
          </w:p>
        </w:tc>
        <w:tc>
          <w:tcPr/>
          <w:p>
            <w:pPr>
              <w:pStyle w:val="Compact"/>
            </w:pPr>
            <w:r>
              <w:t xml:space="preserve">W8–W22 (+2027 tail)</w:t>
            </w:r>
          </w:p>
        </w:tc>
        <w:tc>
          <w:tcPr/>
          <w:p>
            <w:pPr>
              <w:pStyle w:val="Compact"/>
            </w:pPr>
            <w:r>
              <w:t xml:space="preserve">Aug ’26 → ongoing</w:t>
            </w:r>
          </w:p>
        </w:tc>
        <w:tc>
          <w:tcPr/>
          <w:p>
            <w:pPr>
              <w:pStyle w:val="Compact"/>
            </w:pPr>
            <w:r>
              <w:t xml:space="preserve">Automated dialect conversion; 280 TB backfill in subject-area waves; parallel run + double reconciliation before each decommission. Gate: critical subject areas migrated &amp;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ML Predictive-Maintenance Enablement</w:t>
            </w:r>
          </w:p>
        </w:tc>
        <w:tc>
          <w:tcPr/>
          <w:p>
            <w:pPr>
              <w:pStyle w:val="Compact"/>
            </w:pPr>
            <w:r>
              <w:t xml:space="preserve">W16–W22</w:t>
            </w:r>
          </w:p>
        </w:tc>
        <w:tc>
          <w:tcPr/>
          <w:p>
            <w:pPr>
              <w:pStyle w:val="Compact"/>
            </w:pPr>
            <w:r>
              <w:t xml:space="preserve">Nov–Dec ’26</w:t>
            </w:r>
          </w:p>
        </w:tc>
        <w:tc>
          <w:tcPr/>
          <w:p>
            <w:pPr>
              <w:pStyle w:val="Compact"/>
            </w:pPr>
            <w:r>
              <w:t xml:space="preserve">Feature store fed by IoT telemetry; model registry + serving; one pilot predictive-maintenance model. Gate: feature store live, pilot model 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Go-live + Hypercare</w:t>
            </w:r>
          </w:p>
        </w:tc>
        <w:tc>
          <w:tcPr/>
          <w:p>
            <w:pPr>
              <w:pStyle w:val="Compact"/>
            </w:pPr>
            <w:r>
              <w:t xml:space="preserve">W20–W24 (+hypercare)</w:t>
            </w:r>
          </w:p>
        </w:tc>
        <w:tc>
          <w:tcPr/>
          <w:p>
            <w:pPr>
              <w:pStyle w:val="Compact"/>
            </w:pPr>
            <w:r>
              <w:t xml:space="preserve">Nov ’26–Jan ’27</w:t>
            </w:r>
          </w:p>
        </w:tc>
        <w:tc>
          <w:tcPr/>
          <w:p>
            <w:pPr>
              <w:pStyle w:val="Compact"/>
            </w:pPr>
            <w:r>
              <w:t xml:space="preserve">Active-active failover/DR test; production go-live; 4-week hypercare war room. Gate: steady-state ops handover</w:t>
            </w:r>
          </w:p>
        </w:tc>
      </w:tr>
    </w:tbl>
    <w:p>
      <w:pPr>
        <w:pStyle w:val="BodyText"/>
      </w:pPr>
      <w:r>
        <w:t xml:space="preserve">The two decisions everything depends on — the EU residency classification and the multi-region architecture — are front-loaded and locked before any data moves. The Teradata migration is deliberately the longest thread, paced to Acme’s own 2027 sunset so there is never a big-bang cutover of 280 TB.</w:t>
      </w:r>
    </w:p>
    <w:p>
      <w:r>
        <w:pict>
          <v:rect style="width:0;height:1.5pt" o:hralign="center" o:hrstd="t" o:hr="t"/>
        </w:pict>
      </w:r>
    </w:p>
    <w:bookmarkEnd w:id="23"/>
    <w:bookmarkStart w:id="24" w:name="contract-approach"/>
    <w:p>
      <w:pPr>
        <w:pStyle w:val="Heading2"/>
      </w:pPr>
      <w:r>
        <w:t xml:space="preserve">6. Contract approach</w:t>
      </w:r>
    </w:p>
    <w:p>
      <w:pPr>
        <w:pStyle w:val="FirstParagraph"/>
      </w:pPr>
      <w:r>
        <w:t xml:space="preserve">We have reviewed the commercial and contractual terms in the RFP carefully and in good faith. We can meet the great majority of Acme’s requirements as drafted — including EU data residency, no early-termination penalties, and a custom master agreement. On a small number of terms, our standard positions differ, and we set them out transparently below so we can resolve them efficiently before signature. In each case our aim is a balanced, market-standard construct that protects both parties.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Liability &amp; indemnification (§4.1).</w:t>
      </w:r>
      <w:r>
        <w:t xml:space="preserve"> </w:t>
      </w:r>
      <w:r>
        <w:t xml:space="preserve">We propose an elevated liability cap set at 24 months of fees for data-breach matters (with mutual carve-outs for gross negligence, wilful misconduct, and IP infringement), and indemnification covering third-party claims, breach-notification and credit-monitoring costs. This is consistent with market-standard data-processing terms and with maintaining the insurance coverage that ultimately protects Acme.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rights (§4.2).</w:t>
      </w:r>
      <w:r>
        <w:t xml:space="preserve"> </w:t>
      </w:r>
      <w:r>
        <w:t xml:space="preserve">We propose one on-site controls audit per year with 30 days’ notice (additional audits available with notice, at Acme’s cost), and we will provide our current SOC 2 Type II report and annual penetration-test summary — which satisfies most enterprise compliance needs without operational disruption.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 levels (§4.3).</w:t>
      </w:r>
      <w:r>
        <w:t xml:space="preserve"> </w:t>
      </w:r>
      <w:r>
        <w:t xml:space="preserve">We propose our 99.95% Enterprise standard (or the 99.99% active-active option) with service credits on a sliding scale as the remedy, and termination rights tied to chronic, uncured SLA failure with a cure period — a construct that protects Acme while remaining one we can reliably stand behind.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Intellectual property (§4.4).</w:t>
      </w:r>
      <w:r>
        <w:t xml:space="preserve"> </w:t>
      </w:r>
      <w:r>
        <w:t xml:space="preserve">We propose our</w:t>
      </w:r>
      <w:r>
        <w:t xml:space="preserve"> </w:t>
      </w:r>
      <w:r>
        <w:rPr>
          <w:b/>
          <w:bCs/>
        </w:rPr>
        <w:t xml:space="preserve">IP licence-back model</w:t>
      </w:r>
      <w:r>
        <w:t xml:space="preserve">: BTS-Synthetic retains ownership of work product and platform IP, and grants Acme a full, perpetual, royalty-free licence to use, modify, and operate all custom work for its business. Acme gets complete usage rights without owning our underlying platform — the same structure that resolved an identical requirement for another enterprise customer.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Subprocessors (§4.5).</w:t>
      </w:r>
      <w:r>
        <w:t xml:space="preserve"> </w:t>
      </w:r>
      <w:r>
        <w:t xml:space="preserve">We propose a public subprocessor list with 30 days’ advance notice of any new subprocessor and a right for Acme to object, with termination of the affected service as the remedy — an operationally workable alternative to blanket pre-approval.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Pricing warranty / MFN (§3.4).</w:t>
      </w:r>
      <w:r>
        <w:t xml:space="preserve"> </w:t>
      </w:r>
      <w:r>
        <w:t xml:space="preserve">In place of an ongoing most-favoured-nation warranty — which is functionally unauditable across thousands of differently-structured customers — we commit directly to the discount negotiated in this agreement, which addresses Acme’s underlying pricing objective without an open-ended benchmarking obligation.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Termination (§3.5).</w:t>
      </w:r>
      <w:r>
        <w:t xml:space="preserve"> </w:t>
      </w:r>
      <w:r>
        <w:t xml:space="preserve">We are aligned on no early-termination penalties. We propose 90 days’ notice for termination for convenience (or a short minimum commitment period reflecting the implementation buildout, after which shorter notice applies).</w:t>
      </w:r>
    </w:p>
    <w:p>
      <w:pPr>
        <w:pStyle w:val="FirstParagraph"/>
      </w:pPr>
      <w:r>
        <w:t xml:space="preserve">None of these are obstacles to a strong partnership; they are the normal shape of a balanced enterprise agreement, and we are confident we can close them quickly with Acme’s legal team.</w:t>
      </w:r>
    </w:p>
    <w:p>
      <w:r>
        <w:pict>
          <v:rect style="width:0;height:1.5pt" o:hralign="center" o:hrstd="t" o:hr="t"/>
        </w:pict>
      </w:r>
    </w:p>
    <w:bookmarkEnd w:id="24"/>
    <w:bookmarkStart w:id="25" w:name="customer-references"/>
    <w:p>
      <w:pPr>
        <w:pStyle w:val="Heading2"/>
      </w:pPr>
      <w:r>
        <w:t xml:space="preserve">7. Customer references</w:t>
      </w:r>
    </w:p>
    <w:p>
      <w:pPr>
        <w:pStyle w:val="FirstParagraph"/>
      </w:pPr>
      <w:r>
        <w:t xml:space="preserve">We are pleased to offer three references at similar scale and profile — all industrial/IoT manufacturers on the Microsoft/Azure ecosystem, each mapping to a dimension of Acme’s requirements. Named reference calls will be arranged with each customer’s consent as part of the evaluation.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Scale / workload match</w:t>
            </w:r>
          </w:p>
        </w:tc>
        <w:tc>
          <w:tcPr/>
          <w:p>
            <w:pPr>
              <w:pStyle w:val="Compact"/>
            </w:pPr>
            <w:r>
              <w:t xml:space="preserve">Deployment context</w:t>
            </w:r>
          </w:p>
        </w:tc>
        <w:tc>
          <w:tcPr/>
          <w:p>
            <w:pPr>
              <w:pStyle w:val="Compact"/>
            </w:pPr>
            <w:r>
              <w:t xml:space="preserve">Why they chose BTS-Synthetic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Initech Sensors</w:t>
            </w:r>
          </w:p>
        </w:tc>
        <w:tc>
          <w:tcPr/>
          <w:p>
            <w:pPr>
              <w:pStyle w:val="Compact"/>
            </w:pPr>
            <w:r>
              <w:t xml:space="preserve">Industrial / IoT sensors (near-identical to Acme)</w:t>
            </w:r>
          </w:p>
        </w:tc>
        <w:tc>
          <w:tcPr/>
          <w:p>
            <w:pPr>
              <w:pStyle w:val="Compact"/>
            </w:pPr>
            <w:r>
              <w:t xml:space="preserve">High-volume real-time sensor ingest with governance (residency, access control, PII)</w:t>
            </w:r>
          </w:p>
        </w:tc>
        <w:tc>
          <w:tcPr/>
          <w:p>
            <w:pPr>
              <w:pStyle w:val="Compact"/>
            </w:pPr>
            <w:r>
              <w:t xml:space="preserve">Microsoft-ecosystem shop; evaluated Microsoft Fabric head-to-head</w:t>
            </w:r>
          </w:p>
        </w:tc>
        <w:tc>
          <w:tcPr/>
          <w:p>
            <w:pPr>
              <w:pStyle w:val="Compact"/>
            </w:pPr>
            <w:r>
              <w:t xml:space="preserve">The only platform that held the real-time ingest SLA at peak event rates — Fabric could not match it even bundled</w:t>
            </w:r>
            <w:r>
              <w:t xml:space="preserve"> </w:t>
            </w:r>
            <w:r>
              <w:t xml:space="preserve">“free”</w:t>
            </w:r>
            <w:r>
              <w:t xml:space="preserve"> </w:t>
            </w:r>
            <w:r>
              <w:t xml:space="preserve">with E5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Globex Manufacturing</w:t>
            </w:r>
          </w:p>
        </w:tc>
        <w:tc>
          <w:tcPr/>
          <w:p>
            <w:pPr>
              <w:pStyle w:val="Compact"/>
            </w:pPr>
            <w:r>
              <w:t xml:space="preserve">Industrial / Manufacturing</w:t>
            </w:r>
          </w:p>
        </w:tc>
        <w:tc>
          <w:tcPr/>
          <w:p>
            <w:pPr>
              <w:pStyle w:val="Compact"/>
            </w:pPr>
            <w:r>
              <w:t xml:space="preserve">Closest deal-size match; heavy mixed/unstructured workload</w:t>
            </w:r>
          </w:p>
        </w:tc>
        <w:tc>
          <w:tcPr/>
          <w:p>
            <w:pPr>
              <w:pStyle w:val="Compact"/>
            </w:pPr>
            <w:r>
              <w:t xml:space="preserve">Multi-cloud, open-format lakehouse; evaluated Snowflake and Databricks</w:t>
            </w:r>
          </w:p>
        </w:tc>
        <w:tc>
          <w:tcPr/>
          <w:p>
            <w:pPr>
              <w:pStyle w:val="Compact"/>
            </w:pPr>
            <w:r>
              <w:t xml:space="preserve">Won a like-for-like 3-year TCO comparison at their actual workload; open multi-cloud architecture avoided single-vendor lock-in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Wayne Manufacturing</w:t>
            </w:r>
          </w:p>
        </w:tc>
        <w:tc>
          <w:tcPr/>
          <w:p>
            <w:pPr>
              <w:pStyle w:val="Compact"/>
            </w:pPr>
            <w:r>
              <w:t xml:space="preserve">Industrial manufacturing</w:t>
            </w:r>
          </w:p>
        </w:tc>
        <w:tc>
          <w:tcPr/>
          <w:p>
            <w:pPr>
              <w:pStyle w:val="Compact"/>
            </w:pPr>
            <w:r>
              <w:t xml:space="preserve">Same vertical; validated on real data before commit</w:t>
            </w:r>
          </w:p>
        </w:tc>
        <w:tc>
          <w:tcPr/>
          <w:p>
            <w:pPr>
              <w:pStyle w:val="Compact"/>
            </w:pPr>
            <w:r>
              <w:t xml:space="preserve">Evaluated Snowflake; chose a proof-first path</w:t>
            </w:r>
          </w:p>
        </w:tc>
        <w:tc>
          <w:tcPr/>
          <w:p>
            <w:pPr>
              <w:pStyle w:val="Compact"/>
            </w:pPr>
            <w:r>
              <w:t xml:space="preserve">Proved it in a 90-day proof-of-concept on their own data before signing, with the PoC fee credited into Year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isks-and-how-we-mitigate-them"/>
    <w:p>
      <w:pPr>
        <w:pStyle w:val="Heading2"/>
      </w:pPr>
      <w:r>
        <w:t xml:space="preserve">8. Risks and how we mitigate them</w:t>
      </w:r>
    </w:p>
    <w:p>
      <w:pPr>
        <w:pStyle w:val="FirstParagraph"/>
      </w:pPr>
      <w:r>
        <w:t xml:space="preserve">We believe in surfacing delivery risk early and engineering it out. The three we watch most closely on a program of this scope, and our mitigations: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High-availability target.</w:t>
      </w:r>
      <w:r>
        <w:t xml:space="preserve"> </w:t>
      </w:r>
      <w:r>
        <w:t xml:space="preserve">Acme’s 99.99% uptime aspiration exceeds a standard Enterprise SLA and calls for a multi-region active-active architecture.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we design active-active EU/US-East into the landing zone from Phase 1 rather than retrofitting it, and we gate go-live on a scripted regional failover/DR test with SLA instrumentation running from day one of hypercare. We will also align with Acme on SLA terms that are both robust and reliably deliverable.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Teradata migration across 280 TB and 30+ sources.</w:t>
      </w:r>
      <w:r>
        <w:t xml:space="preserve"> </w:t>
      </w:r>
      <w:r>
        <w:t xml:space="preserve">Legacy warehouses carry dialect incompatibilities and undocumented dependencies.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automated Teradata-to-ANSI-SQL conversion; strictly wave-based migration by subject area with a parallel run and two clean reconciliation cycles before any decommission; and a decommission tail deliberately paced to Acme’s own 2027 sunset — never a big-bang cutover.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Onboarding 40,000 devices at peak with governance enforced.</w:t>
      </w:r>
      <w:r>
        <w:t xml:space="preserve"> </w:t>
      </w:r>
      <w:r>
        <w:t xml:space="preserve">Raw throughput is comfortably within envelope (80K/sec vs. our tested 250K/sec); the real work is fleet onboarding across four countries with EU residency routing and ABAC enforced at the streaming layer.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staged onboarding starting from a single-facility pilot cohort, a 160K events/sec (2x peak) load test before scale-out, and validation of per-table residency routing and PII masking on the pilot before any EU production telemetry flows.</w:t>
      </w:r>
    </w:p>
    <w:p>
      <w:pPr>
        <w:pStyle w:val="FirstParagraph"/>
      </w:pPr>
      <w:r>
        <w:t xml:space="preserve">We look forward to walking through this proposal with the Acme team and to earning the opportunity to deliver Acme’s next-generation data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BTS-Synthetic — Enterprise Data Platform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2026-07-18T11:08:39Z</dcterms:created>
  <dcterms:modified xsi:type="dcterms:W3CDTF">2026-07-18T11:08:39Z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