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BTS-Synthetic — Response to Acme Corp Enterprise Data Platform RFP</w:t>
      </w:r>
    </w:p>
    <w:p>
      <w:pPr>
        <w:pStyle w:val="Author"/>
      </w:pPr>
      <w:r>
        <w:t xml:space="preserve">Prepared for: Sarah Chen, VP Procurement / Marcus Webb, Chief Data Officer, Acme Corp</w:t>
      </w:r>
    </w:p>
    <w:p>
      <w:pPr>
        <w:pStyle w:val="Date"/>
      </w:pPr>
      <w:r>
        <w:t xml:space="preserve">2026-07-18</w:t>
      </w:r>
    </w:p>
    <w:bookmarkStart w:id="9" w:name="executive-summary"/>
    <w:p>
      <w:pPr>
        <w:pStyle w:val="Heading1"/>
      </w:pPr>
      <w:r>
        <w:t xml:space="preserve">Executive Summary</w:t>
      </w:r>
    </w:p>
    <w:p>
      <w:pPr>
        <w:pStyle w:val="Compact"/>
        <w:numPr>
          <w:ilvl w:val="0"/>
          <w:numId w:val="1001"/>
        </w:numPr>
      </w:pPr>
      <w:r>
        <w:rPr>
          <w:b/>
          <w:bCs/>
        </w:rPr>
        <w:t xml:space="preserve">Strong technical fit.</w:t>
      </w:r>
      <w:r>
        <w:t xml:space="preserve"> </w:t>
      </w:r>
      <w:r>
        <w:t xml:space="preserve">BTS-Synthetic’s lakehouse platform covers every workload in Acme’s RFP — 80,000 events/sec real-time ingest, 30+ source batch ETL, native Power BI for 600 users, self-service prep for 150 engineers, and open-format (Parquet/Delta/Iceberg) storage with per-table EU data residency enforcement across a multi-region EU-primary/US-East-secondary deployment.</w:t>
      </w:r>
    </w:p>
    <w:p>
      <w:pPr>
        <w:pStyle w:val="Compact"/>
        <w:numPr>
          <w:ilvl w:val="0"/>
          <w:numId w:val="1001"/>
        </w:numPr>
      </w:pPr>
      <w:r>
        <w:rPr>
          <w:b/>
          <w:bCs/>
        </w:rPr>
        <w:t xml:space="preserve">Differentiated position against Fabric, Databricks, and Snowflake.</w:t>
      </w:r>
      <w:r>
        <w:t xml:space="preserve"> </w:t>
      </w:r>
      <w:r>
        <w:t xml:space="preserve">We offer Power BI maturity Fabric can’t match outside Azure lock-in, and predictable multi-cloud TCO where Databricks compute costs typically balloon by year two. We propose leading with a 3-year TCO comparison rather than competing on list-price optics alone.</w:t>
      </w:r>
    </w:p>
    <w:p>
      <w:pPr>
        <w:pStyle w:val="Compact"/>
        <w:numPr>
          <w:ilvl w:val="0"/>
          <w:numId w:val="1001"/>
        </w:numPr>
      </w:pPr>
      <w:r>
        <w:rPr>
          <w:b/>
          <w:bCs/>
        </w:rPr>
        <w:t xml:space="preserve">Commercial terms require negotiation, not rejection.</w:t>
      </w:r>
      <w:r>
        <w:t xml:space="preserve"> </w:t>
      </w:r>
      <w:r>
        <w:t xml:space="preserve">Several requested terms (35% discount floor, uncapped liability, no-notice audits, immediate-termination SLA, perpetual MFN) sit outside our standard and even strategic approval bands. We propose a package of counter-positions below that preserves the deal economics while meeting Acme’s underlying intent on cost predictability, accountability, and audit rights.</w:t>
      </w:r>
    </w:p>
    <w:bookmarkEnd w:id="9"/>
    <w:bookmarkStart w:id="10" w:name="our-understanding-of-your-need"/>
    <w:p>
      <w:pPr>
        <w:pStyle w:val="Heading1"/>
      </w:pPr>
      <w:r>
        <w:t xml:space="preserve">Our Understanding of Your Need</w:t>
      </w:r>
    </w:p>
    <w:p>
      <w:pPr>
        <w:pStyle w:val="FirstParagraph"/>
      </w:pPr>
      <w:r>
        <w:t xml:space="preserve">Acme Corp is consolidating a fragmented data estate — legacy on-premises Teradata warehouses (decommissioning through 2027) and ad-hoc cloud analytics — onto a single enterprise data platform. The platform must support real-time IoT telemetry from ~40,000 field devices at up to 80,000 events/second, batch integration from 30+ internal systems, BI/reporting for 600 analysts and executives with non-negotiable native Power BI support, self-service data preparation for 150 data engineers, and a forward path to ML-driven predictive maintenance. As a Microsoft/Azure shop with EU and US operations spanning 18 countries, Acme requires multi-region deployment (EU primary, US East secondary) with strict EU data residency, built on an open, portable lakehouse architecture. You are evaluating us alongside Databricks, Snowflake, Microsoft Fabric, and one regional vendor, weighing functional fit (30%), commercial terms (25%), 5-year TCO (20%), implementation risk (15%), and vendor stability (10%).</w:t>
      </w:r>
    </w:p>
    <w:bookmarkEnd w:id="10"/>
    <w:bookmarkStart w:id="11" w:name="why-were-the-right-fit"/>
    <w:p>
      <w:pPr>
        <w:pStyle w:val="Heading1"/>
      </w:pPr>
      <w:r>
        <w:t xml:space="preserve">Why We’re the Right Fit</w:t>
      </w:r>
    </w:p>
    <w:p>
      <w:pPr>
        <w:pStyle w:val="FirstParagraph"/>
      </w:pPr>
      <w:r>
        <w:rPr>
          <w:b/>
          <w:bCs/>
        </w:rPr>
        <w:t xml:space="preserve">Technical fit: HIGH.</w:t>
      </w:r>
      <w:r>
        <w:t xml:space="preserve"> </w:t>
      </w:r>
      <w:r>
        <w:t xml:space="preserve">Every stated workload and capability requirement is met by our current product, with no material gaps:</w:t>
      </w:r>
    </w:p>
    <w:p>
      <w:pPr>
        <w:pStyle w:val="Compact"/>
        <w:numPr>
          <w:ilvl w:val="0"/>
          <w:numId w:val="1002"/>
        </w:numPr>
      </w:pPr>
      <w:r>
        <w:t xml:space="preserve">Real-time ingest tested to 250,000 events/sec (single-region) comfortably exceeds Acme’s 80,000/sec peak; we will validate sustained throughput under the specific multi-region/EU-residency topology Acme requires before finalizing commitments, rather than assuming linear scaling.</w:t>
      </w:r>
    </w:p>
    <w:p>
      <w:pPr>
        <w:pStyle w:val="Compact"/>
        <w:numPr>
          <w:ilvl w:val="0"/>
          <w:numId w:val="1002"/>
        </w:numPr>
      </w:pPr>
      <w:r>
        <w:t xml:space="preserve">80+ connectors cover Acme’s 30+ internal batch sources.</w:t>
      </w:r>
    </w:p>
    <w:p>
      <w:pPr>
        <w:pStyle w:val="Compact"/>
        <w:numPr>
          <w:ilvl w:val="0"/>
          <w:numId w:val="1002"/>
        </w:numPr>
      </w:pPr>
      <w:r>
        <w:t xml:space="preserve">Power BI integration is our most mature BI integration, with a dedicated DirectQuery adapter — a direct answer to Acme’s non-negotiable requirement.</w:t>
      </w:r>
    </w:p>
    <w:p>
      <w:pPr>
        <w:pStyle w:val="Compact"/>
        <w:numPr>
          <w:ilvl w:val="0"/>
          <w:numId w:val="1002"/>
        </w:numPr>
      </w:pPr>
      <w:r>
        <w:t xml:space="preserve">Native Delta, Iceberg, and Parquet support directly matches the requested lakehouse/open-format architecture, and per-table residency controls let us pin EU tables to EU infrastructure specifically while serving US East as secondary.</w:t>
      </w:r>
    </w:p>
    <w:p>
      <w:pPr>
        <w:pStyle w:val="Compact"/>
        <w:numPr>
          <w:ilvl w:val="0"/>
          <w:numId w:val="1002"/>
        </w:numPr>
      </w:pPr>
      <w:r>
        <w:t xml:space="preserve">Model registry, feature store, and autoscaling model serving are in place today for the planned predictive-maintenance ML pipelines — capability exists ahead of Acme’s need.</w:t>
      </w:r>
    </w:p>
    <w:p>
      <w:pPr>
        <w:pStyle w:val="Compact"/>
        <w:numPr>
          <w:ilvl w:val="0"/>
          <w:numId w:val="1002"/>
        </w:numPr>
      </w:pPr>
      <w:r>
        <w:t xml:space="preserve">Proposed implementation follows our standard legacy-warehouse migration path (comparable to past Teradata/Hadoop migrations): first production workload live in 8 weeks, core BI/Power BI cutover and self-service enablement by week 12, full migration readiness by weeks 16–24 — comfortably inside Acme’s 2027 Teradata decommission window.</w:t>
      </w:r>
    </w:p>
    <w:p>
      <w:pPr>
        <w:pStyle w:val="FirstParagraph"/>
      </w:pPr>
      <w:r>
        <w:rPr>
          <w:b/>
          <w:bCs/>
        </w:rPr>
        <w:t xml:space="preserve">Competitive position.</w:t>
      </w:r>
      <w:r>
        <w:t xml:space="preserve"> </w:t>
      </w:r>
      <w:r>
        <w:t xml:space="preserve">Microsoft Fabric will be the toughest procurement-level competitor given Acme’s existing Microsoft footprint and Power BI requirement, but Fabric’s Azure-only architecture conflicts with Acme’s multi-region, multi-country residency needs, and its 18-month product maturity carries execution risk at this scale. Databricks is the closest technical competitor on lakehouse/open-format/ML ground — we match their real-time ingest and open-format story while adding Power BI maturity they don’t have, and we will show a 3-year TCO comparison highlighting typical Databricks compute-cost growth against our predictable consumption model. Snowflake is the weakest fit here: real-time ingest at Acme’s scale and lakehouse architecture are not their strength. Our positioning:</w:t>
      </w:r>
      <w:r>
        <w:t xml:space="preserve"> </w:t>
      </w:r>
      <w:r>
        <w:rPr>
          <w:b/>
          <w:bCs/>
        </w:rPr>
        <w:t xml:space="preserve">“Lakehouse for real-time, SQL, and BI in any cloud, with predictable costs and no vendor lock-in — full Power BI maturity from day one.”</w:t>
      </w:r>
    </w:p>
    <w:bookmarkEnd w:id="11"/>
    <w:bookmarkStart w:id="12" w:name="commercial-proposal"/>
    <w:p>
      <w:pPr>
        <w:pStyle w:val="Heading1"/>
      </w:pPr>
      <w:r>
        <w:t xml:space="preserve">Commercial Proposal</w:t>
      </w:r>
    </w:p>
    <w:p>
      <w:pPr>
        <w:pStyle w:val="FirstParagraph"/>
      </w:pPr>
      <w:r>
        <w:t xml:space="preserve">Acme’s RFP requests: a 35%+ discount off list, 5-year pricing fixed at signature with no escalators, Net 90 payment, and a perpetual most-favoured-nation (MFN) warranty. Given Acme’s scale (~280TB, 40,000 devices, 750 total users, multi-region EU/US), this is a strategic-tier deal, and we want to win it on the right terms:</w:t>
      </w:r>
    </w:p>
    <w:p>
      <w:pPr>
        <w:pStyle w:val="Compact"/>
        <w:numPr>
          <w:ilvl w:val="0"/>
          <w:numId w:val="1003"/>
        </w:numPr>
      </w:pPr>
      <w:r>
        <w:rPr>
          <w:b/>
          <w:bCs/>
        </w:rPr>
        <w:t xml:space="preserve">Discount:</w:t>
      </w:r>
      <w:r>
        <w:t xml:space="preserve"> </w:t>
      </w:r>
      <w:r>
        <w:t xml:space="preserve">We propose an opening discount of 22–25%, moving to</w:t>
      </w:r>
      <w:r>
        <w:t xml:space="preserve"> </w:t>
      </w:r>
      <w:r>
        <w:rPr>
          <w:b/>
          <w:bCs/>
        </w:rPr>
        <w:t xml:space="preserve">28–30%</w:t>
      </w:r>
      <w:r>
        <w:t xml:space="preserve"> </w:t>
      </w:r>
      <w:r>
        <w:t xml:space="preserve">(our top strategic band) contingent on a 3-year firm commitment and reference-customer rights — comparable to our Stark Industries engagement (similar scale, 5-year term, closed at 28%). We will not open at 35%; that discount level is reserved for low-differentiation commodity deals, which this is not. We’ll anchor the conversation in 5-year TCO rather than headline discount, where our proposal compares favorably to Databricks and Fabric once implementation and compute-scaling costs are included.</w:t>
      </w:r>
    </w:p>
    <w:p>
      <w:pPr>
        <w:pStyle w:val="Compact"/>
        <w:numPr>
          <w:ilvl w:val="0"/>
          <w:numId w:val="1003"/>
        </w:numPr>
      </w:pPr>
      <w:r>
        <w:rPr>
          <w:b/>
          <w:bCs/>
        </w:rPr>
        <w:t xml:space="preserve">Payment terms:</w:t>
      </w:r>
      <w:r>
        <w:t xml:space="preserve"> </w:t>
      </w:r>
      <w:r>
        <w:t xml:space="preserve">We propose Net 60 in place of Net 90, consistent with terms extended to comparably-sized customers.</w:t>
      </w:r>
    </w:p>
    <w:p>
      <w:pPr>
        <w:pStyle w:val="Compact"/>
        <w:numPr>
          <w:ilvl w:val="0"/>
          <w:numId w:val="1003"/>
        </w:numPr>
      </w:pPr>
      <w:r>
        <w:rPr>
          <w:b/>
          <w:bCs/>
        </w:rPr>
        <w:t xml:space="preserve">Pricing horizon:</w:t>
      </w:r>
      <w:r>
        <w:t xml:space="preserve"> </w:t>
      </w:r>
      <w:r>
        <w:t xml:space="preserve">We propose fixing pricing for the 3-year initial term, with the 2-year renewal carrying a pre-agreed cap (CPI+2%, capped at 5% annually) rather than an unconditional 5-year lock — this protects both parties from unpredictable cost swings while still giving Acme budget certainty.</w:t>
      </w:r>
    </w:p>
    <w:p>
      <w:pPr>
        <w:pStyle w:val="Compact"/>
        <w:numPr>
          <w:ilvl w:val="0"/>
          <w:numId w:val="1003"/>
        </w:numPr>
      </w:pPr>
      <w:r>
        <w:rPr>
          <w:b/>
          <w:bCs/>
        </w:rPr>
        <w:t xml:space="preserve">MFN:</w:t>
      </w:r>
      <w:r>
        <w:t xml:space="preserve"> </w:t>
      </w:r>
      <w:r>
        <w:t xml:space="preserve">We are not able to offer an open-ended MFN warranty; we propose a benchmarking/most-favoured review clause exercisable at renewal instead.</w:t>
      </w:r>
    </w:p>
    <w:bookmarkEnd w:id="12"/>
    <w:bookmarkStart w:id="13" w:name="contract-approach"/>
    <w:p>
      <w:pPr>
        <w:pStyle w:val="Heading1"/>
      </w:pPr>
      <w:r>
        <w:t xml:space="preserve">Contract Approach</w:t>
      </w:r>
    </w:p>
    <w:p>
      <w:pPr>
        <w:pStyle w:val="FirstParagraph"/>
      </w:pPr>
      <w:r>
        <w:t xml:space="preserve">Several requested contractual terms fall outside our standard risk tolerance. We flag these now so they can be resolved collaboratively rather than becoming late-stage surprises: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Acme’s Ask</w:t>
            </w:r>
          </w:p>
        </w:tc>
        <w:tc>
          <w:tcPr/>
          <w:p>
            <w:pPr>
              <w:pStyle w:val="Compact"/>
            </w:pPr>
            <w:r>
              <w:t xml:space="preserve">Our Position</w:t>
            </w:r>
          </w:p>
        </w:tc>
      </w:tr>
      <w:tr>
        <w:tc>
          <w:tcPr/>
          <w:p>
            <w:pPr>
              <w:pStyle w:val="Compact"/>
            </w:pPr>
            <w:r>
              <w:t xml:space="preserve">Liability (4.1)</w:t>
            </w:r>
          </w:p>
        </w:tc>
        <w:tc>
          <w:tcPr/>
          <w:p>
            <w:pPr>
              <w:pStyle w:val="Compact"/>
            </w:pPr>
            <w:r>
              <w:t xml:space="preserve">Uncapped, full indemnification incl. fines/reputational damages</w:t>
            </w:r>
          </w:p>
        </w:tc>
        <w:tc>
          <w:tcPr/>
          <w:p>
            <w:pPr>
              <w:pStyle w:val="Compact"/>
            </w:pPr>
            <w:r>
              <w:t xml:space="preserve">Cap aggregate liability at 24 months’ fees; mutual carve-outs for gross negligence/IP infringement; indemnify direct breach-response costs, not regulatory fines</w:t>
            </w:r>
          </w:p>
        </w:tc>
      </w:tr>
      <w:tr>
        <w:tc>
          <w:tcPr/>
          <w:p>
            <w:pPr>
              <w:pStyle w:val="Compact"/>
            </w:pPr>
            <w:r>
              <w:t xml:space="preserve">Audits (4.2)</w:t>
            </w:r>
          </w:p>
        </w:tc>
        <w:tc>
          <w:tcPr/>
          <w:p>
            <w:pPr>
              <w:pStyle w:val="Compact"/>
            </w:pPr>
            <w:r>
              <w:t xml:space="preserve">No-notice, 4x/year, vendor-paid</w:t>
            </w:r>
          </w:p>
        </w:tc>
        <w:tc>
          <w:tcPr/>
          <w:p>
            <w:pPr>
              <w:pStyle w:val="Compact"/>
            </w:pPr>
            <w:r>
              <w:t xml:space="preserve">1x/year, 30 days’ notice, confidentiality protections; vendor covers first audit annually</w:t>
            </w:r>
          </w:p>
        </w:tc>
      </w:tr>
      <w:tr>
        <w:tc>
          <w:tcPr/>
          <w:p>
            <w:pPr>
              <w:pStyle w:val="Compact"/>
            </w:pPr>
            <w:r>
              <w:t xml:space="preserve">SLA (4.3)</w:t>
            </w:r>
          </w:p>
        </w:tc>
        <w:tc>
          <w:tcPr/>
          <w:p>
            <w:pPr>
              <w:pStyle w:val="Compact"/>
            </w:pPr>
            <w:r>
              <w:t xml:space="preserve">99.99% uptime, immediate termination + full refund on any miss</w:t>
            </w:r>
          </w:p>
        </w:tc>
        <w:tc>
          <w:tcPr/>
          <w:p>
            <w:pPr>
              <w:pStyle w:val="Compact"/>
            </w:pPr>
            <w:r>
              <w:t xml:space="preserve">99.95% uptime with tiered service credits (capped at 30% of monthly fees); termination only after sustained/repeated failures</w:t>
            </w:r>
          </w:p>
        </w:tc>
      </w:tr>
      <w:tr>
        <w:tc>
          <w:tcPr/>
          <w:p>
            <w:pPr>
              <w:pStyle w:val="Compact"/>
            </w:pPr>
            <w:r>
              <w:t xml:space="preserve">IP (4.4)</w:t>
            </w:r>
          </w:p>
        </w:tc>
        <w:tc>
          <w:tcPr/>
          <w:p>
            <w:pPr>
              <w:pStyle w:val="Compact"/>
            </w:pPr>
            <w:r>
              <w:t xml:space="preserve">All work product vests in Acme</w:t>
            </w:r>
          </w:p>
        </w:tc>
        <w:tc>
          <w:tcPr/>
          <w:p>
            <w:pPr>
              <w:pStyle w:val="Compact"/>
            </w:pPr>
            <w:r>
              <w:t xml:space="preserve">Customer data remains Acme’s; customer-specific configurations/reports licensed for Acme’s use; underlying platform IP retained by BTS-Synthetic</w:t>
            </w:r>
          </w:p>
        </w:tc>
      </w:tr>
      <w:tr>
        <w:tc>
          <w:tcPr/>
          <w:p>
            <w:pPr>
              <w:pStyle w:val="Compact"/>
            </w:pPr>
            <w:r>
              <w:t xml:space="preserve">Subprocessors (4.5)</w:t>
            </w:r>
          </w:p>
        </w:tc>
        <w:tc>
          <w:tcPr/>
          <w:p>
            <w:pPr>
              <w:pStyle w:val="Compact"/>
            </w:pPr>
            <w:r>
              <w:t xml:space="preserve">Prior consent at Acme’s sole discretion</w:t>
            </w:r>
          </w:p>
        </w:tc>
        <w:tc>
          <w:tcPr/>
          <w:p>
            <w:pPr>
              <w:pStyle w:val="Compact"/>
            </w:pPr>
            <w:r>
              <w:t xml:space="preserve">Published subprocessor list, 30 days’ notice before additions, objection rights with substitution/termination option</w:t>
            </w:r>
          </w:p>
        </w:tc>
      </w:tr>
      <w:tr>
        <w:tc>
          <w:tcPr/>
          <w:p>
            <w:pPr>
              <w:pStyle w:val="Compact"/>
            </w:pPr>
            <w:r>
              <w:t xml:space="preserve">Termination (3.5)</w:t>
            </w:r>
          </w:p>
        </w:tc>
        <w:tc>
          <w:tcPr/>
          <w:p>
            <w:pPr>
              <w:pStyle w:val="Compact"/>
            </w:pPr>
            <w:r>
              <w:t xml:space="preserve">30 days, no cause, no fee</w:t>
            </w:r>
          </w:p>
        </w:tc>
        <w:tc>
          <w:tcPr/>
          <w:p>
            <w:pPr>
              <w:pStyle w:val="Compact"/>
            </w:pPr>
            <w:r>
              <w:t xml:space="preserve">Termination for convenience acceptable; propose 60–90 days’ notice</w:t>
            </w:r>
          </w:p>
        </w:tc>
      </w:tr>
      <w:tr>
        <w:tc>
          <w:tcPr/>
          <w:p>
            <w:pPr>
              <w:pStyle w:val="Compact"/>
            </w:pPr>
            <w:r>
              <w:t xml:space="preserve">MFN (3.4)</w:t>
            </w:r>
          </w:p>
        </w:tc>
        <w:tc>
          <w:tcPr/>
          <w:p>
            <w:pPr>
              <w:pStyle w:val="Compact"/>
            </w:pPr>
            <w:r>
              <w:t xml:space="preserve">Perpetual, all comparable customers</w:t>
            </w:r>
          </w:p>
        </w:tc>
        <w:tc>
          <w:tcPr/>
          <w:p>
            <w:pPr>
              <w:pStyle w:val="Compact"/>
            </w:pPr>
            <w:r>
              <w:t xml:space="preserve">Benchmarking review at renewal, not a running warranty</w:t>
            </w:r>
          </w:p>
        </w:tc>
      </w:tr>
      <w:tr>
        <w:tc>
          <w:tcPr/>
          <w:p>
            <w:pPr>
              <w:pStyle w:val="Compact"/>
            </w:pPr>
            <w:r>
              <w:t xml:space="preserve">Payment (3.2)</w:t>
            </w:r>
          </w:p>
        </w:tc>
        <w:tc>
          <w:tcPr/>
          <w:p>
            <w:pPr>
              <w:pStyle w:val="Compact"/>
            </w:pPr>
            <w:r>
              <w:t xml:space="preserve">Net 90</w:t>
            </w:r>
          </w:p>
        </w:tc>
        <w:tc>
          <w:tcPr/>
          <w:p>
            <w:pPr>
              <w:pStyle w:val="Compact"/>
            </w:pPr>
            <w:r>
              <w:t xml:space="preserve">Net 60</w:t>
            </w:r>
          </w:p>
        </w:tc>
      </w:tr>
    </w:tbl>
    <w:p>
      <w:pPr>
        <w:pStyle w:val="BodyText"/>
      </w:pPr>
      <w:r>
        <w:t xml:space="preserve">None of these are posture for posture’s sake — each maps to a real operational or financial constraint (insurance coverage limits, audit operations capacity, margin protection). We believe all are resolvable through negotiation without compromising Acme’s core intent of accountability, cost control, and vendor oversight.</w:t>
      </w:r>
    </w:p>
    <w:bookmarkEnd w:id="13"/>
    <w:bookmarkStart w:id="14" w:name="risks-and-how-we-mitigate-them"/>
    <w:p>
      <w:pPr>
        <w:pStyle w:val="Heading1"/>
      </w:pPr>
      <w:r>
        <w:t xml:space="preserve">Risks and How We Mitigate Them</w:t>
      </w:r>
    </w:p>
    <w:p>
      <w:pPr>
        <w:pStyle w:val="Compact"/>
        <w:numPr>
          <w:ilvl w:val="0"/>
          <w:numId w:val="1004"/>
        </w:numPr>
      </w:pPr>
      <w:r>
        <w:rPr>
          <w:b/>
          <w:bCs/>
        </w:rPr>
        <w:t xml:space="preserve">Commercial gap between the RFP’s stated 35% floor and our approvable band (up to 30% strategic).</w:t>
      </w:r>
      <w:r>
        <w:t xml:space="preserve"> </w:t>
      </w:r>
      <w:r>
        <w:t xml:space="preserve">Mitigation: lead with TCO economics rather than headline discount; qualify the deal for our top strategic tier via 3-year commitment and reference rights.</w:t>
      </w:r>
    </w:p>
    <w:p>
      <w:pPr>
        <w:pStyle w:val="Compact"/>
        <w:numPr>
          <w:ilvl w:val="0"/>
          <w:numId w:val="1004"/>
        </w:numPr>
      </w:pPr>
      <w:r>
        <w:rPr>
          <w:b/>
          <w:bCs/>
        </w:rPr>
        <w:t xml:space="preserve">Multiple legal terms (uncapped liability, no-notice audits, immediate-termination SLA, full IP assignment, unilateral subprocessor consent) fall outside our standard contract risk tolerance.</w:t>
      </w:r>
      <w:r>
        <w:t xml:space="preserve"> </w:t>
      </w:r>
      <w:r>
        <w:t xml:space="preserve">Mitigation: counter-positions above address Acme’s underlying intent (accountability, oversight, cost predictability) within terms we can responsibly commit to.</w:t>
      </w:r>
    </w:p>
    <w:p>
      <w:pPr>
        <w:pStyle w:val="Compact"/>
        <w:numPr>
          <w:ilvl w:val="0"/>
          <w:numId w:val="1004"/>
        </w:numPr>
      </w:pPr>
      <w:r>
        <w:rPr>
          <w:b/>
          <w:bCs/>
        </w:rPr>
        <w:t xml:space="preserve">Multi-region throughput under EU-residency constraints is not yet independently validated</w:t>
      </w:r>
      <w:r>
        <w:t xml:space="preserve"> </w:t>
      </w:r>
      <w:r>
        <w:t xml:space="preserve">against our single-region 250,000 events/sec benchmark. Mitigation: we will confirm sustained throughput figures for the specific EU-primary/US-secondary topology during technical due diligence, before any performance commitment is finalized in contract.</w:t>
      </w:r>
    </w:p>
    <w:p>
      <w:pPr>
        <w:pStyle w:val="Compact"/>
        <w:numPr>
          <w:ilvl w:val="0"/>
          <w:numId w:val="1004"/>
        </w:numPr>
      </w:pPr>
      <w:r>
        <w:rPr>
          <w:b/>
          <w:bCs/>
        </w:rPr>
        <w:t xml:space="preserve">Competitive pressure from Microsoft Fabric on procurement grounds</w:t>
      </w:r>
      <w:r>
        <w:t xml:space="preserve"> </w:t>
      </w:r>
      <w:r>
        <w:t xml:space="preserve">given Acme’s existing Microsoft estate. Mitigation: emphasize multi-cloud flexibility and EU residency enforcement that Azure-only Fabric cannot match, plus Fabric’s relative immaturity at this scale.</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BTS-Synthetic — Response to Acme Corp Enterprise Data Platform RFP</dc:title>
  <dc:creator>Prepared for: Sarah Chen, VP Procurement / Marcus Webb, Chief Data Officer, Acme Corp</dc:creator>
  <cp:keywords/>
  <dcterms:created xsi:type="dcterms:W3CDTF">2026-07-18T08:50:02Z</dcterms:created>
  <dcterms:modified xsi:type="dcterms:W3CDTF">2026-07-18T08:50:02Z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2026-07-18</vt:lpwstr>
  </property>
</Properties>
</file>