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Client Performance Dashboard</w:t>
      </w:r>
    </w:p>
    <w:p>
      <w:pPr>
        <w:jc w:val="center"/>
      </w:pPr>
      <w:r>
        <w:rPr>
          <w:color w:val="6366F1"/>
          <w:sz w:val="28"/>
        </w:rPr>
        <w:t>Setup Roadmap — Built by Praxis</w:t>
      </w:r>
    </w:p>
    <w:p/>
    <w:p>
      <w:r>
        <w:rPr>
          <w:b/>
          <w:sz w:val="24"/>
        </w:rPr>
        <w:t xml:space="preserve">Current Status: </w:t>
      </w:r>
      <w:r>
        <w:rPr>
          <w:sz w:val="22"/>
        </w:rPr>
        <w:t>M1 Foundation code is merged to main and deployed. The UI exists at /dashboard/[slug] but needs the database tables created and permissions configured before it renders.</w:t>
      </w:r>
    </w:p>
    <w:p/>
    <w:p>
      <w:pPr>
        <w:pStyle w:val="Heading1"/>
      </w:pPr>
      <w:r>
        <w:t>1. Enable Google Sheets API</w:t>
      </w:r>
    </w:p>
    <w:p>
      <w:r>
        <w:t>The Sheets API must be enabled on the existing GCP project so the data ingestion pipeline can read client spreadsheets.</w:t>
      </w:r>
    </w:p>
    <w:p/>
    <w:p>
      <w:pPr>
        <w:pStyle w:val="ListBullet"/>
      </w:pPr>
      <w:r>
        <w:rPr>
          <w:b/>
          <w:sz w:val="22"/>
        </w:rPr>
        <w:t>☐ Go to GCP Console</w:t>
      </w:r>
      <w:r>
        <w:rPr>
          <w:sz w:val="20"/>
        </w:rPr>
        <w:br/>
        <w:t xml:space="preserve">    console.cloud.google.com/apis/library/sheets.googleapis.com?project=unified-atom-492422-n5</w:t>
      </w:r>
    </w:p>
    <w:p>
      <w:pPr>
        <w:pStyle w:val="ListBullet"/>
      </w:pPr>
      <w:r>
        <w:rPr>
          <w:b/>
          <w:sz w:val="22"/>
        </w:rPr>
        <w:t>☐ Click "Enable"</w:t>
      </w:r>
      <w:r>
        <w:rPr>
          <w:sz w:val="20"/>
        </w:rPr>
        <w:br/>
        <w:t xml:space="preserve">    One click — no configuration needed</w:t>
      </w:r>
    </w:p>
    <w:p>
      <w:pPr>
        <w:pStyle w:val="ListBullet"/>
      </w:pPr>
      <w:r>
        <w:rPr>
          <w:b/>
          <w:sz w:val="22"/>
        </w:rPr>
        <w:t>☐ Service account already exists</w:t>
      </w:r>
      <w:r>
        <w:rPr>
          <w:sz w:val="20"/>
        </w:rPr>
        <w:br/>
        <w:t xml:space="preserve">    praxis-centcom-calendar@unified-atom-492422-n5.iam.gserviceaccount.com (created during Calendar integration on Apr 8)</w:t>
      </w:r>
    </w:p>
    <w:p/>
    <w:p>
      <w:pPr>
        <w:pStyle w:val="Heading1"/>
      </w:pPr>
      <w:r>
        <w:t>2. Run Supabase Migration</w:t>
      </w:r>
    </w:p>
    <w:p>
      <w:r>
        <w:t>The dashboard requires 4 new tables in the Supabase database. The migration SQL is already in the repo.</w:t>
      </w:r>
    </w:p>
    <w:p>
      <w:pPr>
        <w:pStyle w:val="ListBullet"/>
      </w:pPr>
      <w:r>
        <w:rPr>
          <w:b/>
          <w:sz w:val="22"/>
        </w:rPr>
        <w:t>☐ Open Supabase SQL Editor</w:t>
      </w:r>
      <w:r>
        <w:rPr>
          <w:sz w:val="20"/>
        </w:rPr>
        <w:br/>
        <w:t xml:space="preserve">    supabase.com/dashboard/project/xnbsvfjkmpzoxrdhfpwx/sql/new</w:t>
      </w:r>
    </w:p>
    <w:p>
      <w:pPr>
        <w:pStyle w:val="ListBullet"/>
      </w:pPr>
      <w:r>
        <w:rPr>
          <w:b/>
          <w:sz w:val="22"/>
        </w:rPr>
        <w:t>☐ Paste the SQL from supabase/migrations/008_client_performance.sql</w:t>
      </w:r>
      <w:r>
        <w:rPr>
          <w:sz w:val="20"/>
        </w:rPr>
        <w:br/>
        <w:t xml:space="preserve">    Creates: clients, data_sources, metric_snapshots, client_events</w:t>
      </w:r>
    </w:p>
    <w:p>
      <w:pPr>
        <w:pStyle w:val="ListBullet"/>
      </w:pPr>
      <w:r>
        <w:rPr>
          <w:b/>
          <w:sz w:val="22"/>
        </w:rPr>
        <w:t>☐ Click "Run"</w:t>
      </w:r>
      <w:r>
        <w:rPr>
          <w:sz w:val="20"/>
        </w:rPr>
        <w:br/>
        <w:t xml:space="preserve">    Also seeds Mashore as the first client with funnel_type: call</w:t>
      </w:r>
    </w:p>
    <w:p>
      <w:pPr>
        <w:pStyle w:val="ListBullet"/>
      </w:pPr>
      <w:r>
        <w:rPr>
          <w:b/>
          <w:sz w:val="22"/>
        </w:rPr>
        <w:t>☐ Verify tables exist</w:t>
      </w:r>
      <w:r>
        <w:rPr>
          <w:sz w:val="20"/>
        </w:rPr>
        <w:br/>
        <w:t xml:space="preserve">    Check the Table Editor — you should see all 4 new tables</w:t>
      </w:r>
    </w:p>
    <w:p/>
    <w:p>
      <w:pPr>
        <w:pStyle w:val="Heading1"/>
      </w:pPr>
      <w:r>
        <w:t>3. Configure Mashore (First Client)</w:t>
      </w:r>
    </w:p>
    <w:p>
      <w:r>
        <w:t>Once the tables exist and Sheets API is enabled, connect the first client data source.</w:t>
      </w:r>
    </w:p>
    <w:p>
      <w:pPr>
        <w:pStyle w:val="ListBullet"/>
      </w:pPr>
      <w:r>
        <w:rPr>
          <w:b/>
          <w:sz w:val="22"/>
        </w:rPr>
        <w:t>☐ Confirm Mashore funnel type</w:t>
      </w:r>
      <w:r>
        <w:rPr>
          <w:sz w:val="20"/>
        </w:rPr>
        <w:br/>
        <w:t xml:space="preserve">    Options: call, webinar, or challenge. Currently defaulted to "call" — update in Supabase clients table if different.</w:t>
      </w:r>
    </w:p>
    <w:p>
      <w:pPr>
        <w:pStyle w:val="ListBullet"/>
      </w:pPr>
      <w:r>
        <w:rPr>
          <w:b/>
          <w:sz w:val="22"/>
        </w:rPr>
        <w:t>☐ Get Mashore Google Sheet URL</w:t>
      </w:r>
      <w:r>
        <w:rPr>
          <w:sz w:val="20"/>
        </w:rPr>
        <w:br/>
        <w:t xml:space="preserve">    The spreadsheet containing their performance/funnel data</w:t>
      </w:r>
    </w:p>
    <w:p>
      <w:pPr>
        <w:pStyle w:val="ListBullet"/>
      </w:pPr>
      <w:r>
        <w:rPr>
          <w:b/>
          <w:sz w:val="22"/>
        </w:rPr>
        <w:t>☐ Share Sheet with service account</w:t>
      </w:r>
      <w:r>
        <w:rPr>
          <w:sz w:val="20"/>
        </w:rPr>
        <w:br/>
        <w:t xml:space="preserve">    Share with praxis-centcom-calendar@unified-atom-492422-n5.iam.gserviceaccount.com as Viewer</w:t>
      </w:r>
    </w:p>
    <w:p>
      <w:pPr>
        <w:pStyle w:val="ListBullet"/>
      </w:pPr>
      <w:r>
        <w:rPr>
          <w:b/>
          <w:sz w:val="22"/>
        </w:rPr>
        <w:t>☐ Navigate to /dashboard/mashore</w:t>
      </w:r>
      <w:r>
        <w:rPr>
          <w:sz w:val="20"/>
        </w:rPr>
        <w:br/>
        <w:t xml:space="preserve">    On praxis-centcom.vercel.app</w:t>
      </w:r>
    </w:p>
    <w:p>
      <w:pPr>
        <w:pStyle w:val="ListBullet"/>
      </w:pPr>
      <w:r>
        <w:rPr>
          <w:b/>
          <w:sz w:val="22"/>
        </w:rPr>
        <w:t>☐ Click "Connect Sheet" and paste the URL</w:t>
      </w:r>
      <w:r>
        <w:rPr>
          <w:sz w:val="20"/>
        </w:rPr>
        <w:br/>
        <w:t xml:space="preserve">    The AI mapper (Opus) will read all tabs and propose column-to-metric mappings</w:t>
      </w:r>
    </w:p>
    <w:p>
      <w:pPr>
        <w:pStyle w:val="ListBullet"/>
      </w:pPr>
      <w:r>
        <w:rPr>
          <w:b/>
          <w:sz w:val="22"/>
        </w:rPr>
        <w:t>☐ Review the mapping and click "Approve &amp; Import"</w:t>
      </w:r>
      <w:r>
        <w:rPr>
          <w:sz w:val="20"/>
        </w:rPr>
        <w:br/>
        <w:t xml:space="preserve">    Direct matches show green, derived metrics yellow, ambiguities need your input</w:t>
      </w:r>
    </w:p>
    <w:p/>
    <w:p>
      <w:pPr>
        <w:pStyle w:val="Heading1"/>
      </w:pPr>
      <w:r>
        <w:t>4. Vercel Environment (Already Done)</w:t>
      </w:r>
    </w:p>
    <w:p>
      <w:r>
        <w:t>These env vars are already configured — no action needed.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Added</w:t>
            </w:r>
          </w:p>
        </w:tc>
      </w:tr>
      <w:tr>
        <w:tc>
          <w:tcPr>
            <w:tcW w:type="dxa" w:w="2880"/>
          </w:tcPr>
          <w:p>
            <w:r>
              <w:t>ANTHROPIC_API_KEY</w:t>
            </w:r>
          </w:p>
        </w:tc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Today</w:t>
            </w:r>
          </w:p>
        </w:tc>
      </w:tr>
      <w:tr>
        <w:tc>
          <w:tcPr>
            <w:tcW w:type="dxa" w:w="2880"/>
          </w:tcPr>
          <w:p>
            <w:r>
              <w:t>GOOGLE_SERVICE_ACCOUNT_EMAIL</w:t>
            </w:r>
          </w:p>
        </w:tc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Today</w:t>
            </w:r>
          </w:p>
        </w:tc>
      </w:tr>
      <w:tr>
        <w:tc>
          <w:tcPr>
            <w:tcW w:type="dxa" w:w="2880"/>
          </w:tcPr>
          <w:p>
            <w:r>
              <w:t>GOOGLE_SERVICE_ACCOUNT_KEY</w:t>
            </w:r>
          </w:p>
        </w:tc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Apr 8</w:t>
            </w:r>
          </w:p>
        </w:tc>
      </w:tr>
    </w:tbl>
    <w:p/>
    <w:p>
      <w:pPr>
        <w:pStyle w:val="Heading1"/>
      </w:pPr>
      <w:r>
        <w:t>5. Remaining Milestones</w:t>
      </w:r>
    </w:p>
    <w:p>
      <w:pPr>
        <w:pStyle w:val="Heading2"/>
      </w:pPr>
      <w:r>
        <w:t>M2: First Client Dashboard Live</w:t>
      </w:r>
    </w:p>
    <w:p>
      <w:r>
        <w:t>After Mashore data is ingested:</w:t>
      </w:r>
    </w:p>
    <w:p>
      <w:pPr>
        <w:pStyle w:val="ListBullet"/>
      </w:pPr>
      <w:r>
        <w:t>Funnel dashboard renders with real KPI cards, trend charts, funnel viz</w:t>
      </w:r>
    </w:p>
    <w:p>
      <w:pPr>
        <w:pStyle w:val="ListBullet"/>
      </w:pPr>
      <w:r>
        <w:t>/dashboard/mashore shows live data with color-coded benchmarks</w:t>
      </w:r>
    </w:p>
    <w:p>
      <w:pPr>
        <w:pStyle w:val="ListBullet"/>
      </w:pPr>
      <w:r>
        <w:t>Data quality banner flags missing or derived metrics</w:t>
      </w:r>
    </w:p>
    <w:p>
      <w:pPr>
        <w:pStyle w:val="Heading2"/>
      </w:pPr>
      <w:r>
        <w:t>M3: Executive View + Other Funnels</w:t>
      </w:r>
    </w:p>
    <w:p>
      <w:pPr>
        <w:pStyle w:val="ListBullet"/>
      </w:pPr>
      <w:r>
        <w:t>/dashboard executive summary — all clients in a table with sparklines and status chips</w:t>
      </w:r>
    </w:p>
    <w:p>
      <w:pPr>
        <w:pStyle w:val="ListBullet"/>
      </w:pPr>
      <w:r>
        <w:t>Webinar funnel dashboard component (if any client uses webinar model)</w:t>
      </w:r>
    </w:p>
    <w:p>
      <w:pPr>
        <w:pStyle w:val="ListBullet"/>
      </w:pPr>
      <w:r>
        <w:t>Challenge funnel dashboard component (3-day live challenge model)</w:t>
      </w:r>
    </w:p>
    <w:p>
      <w:pPr>
        <w:pStyle w:val="Heading2"/>
      </w:pPr>
      <w:r>
        <w:t>M4: Automation + Polish</w:t>
      </w:r>
    </w:p>
    <w:p>
      <w:pPr>
        <w:pStyle w:val="ListBullet"/>
      </w:pPr>
      <w:r>
        <w:t>Forecasting engine (lib/forecast.ts) — trailing averages + event-aware projections</w:t>
      </w:r>
    </w:p>
    <w:p>
      <w:pPr>
        <w:pStyle w:val="ListBullet"/>
      </w:pPr>
      <w:r>
        <w:t>Nightly sync cron — auto-refreshes Sheet data using approved mappings</w:t>
      </w:r>
    </w:p>
    <w:p>
      <w:pPr>
        <w:pStyle w:val="ListBullet"/>
      </w:pPr>
      <w:r>
        <w:t>Loading states, mobile layout, error handling polish</w:t>
      </w:r>
    </w:p>
    <w:p/>
    <w:p>
      <w:pPr>
        <w:pStyle w:val="Heading1"/>
      </w:pPr>
      <w:r>
        <w:t>Architecture 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Client dashboard page</w:t>
            </w:r>
          </w:p>
        </w:tc>
        <w:tc>
          <w:tcPr>
            <w:tcW w:type="dxa" w:w="4320"/>
          </w:tcPr>
          <w:p>
            <w:r>
              <w:t>app/(app)/dashboard/[slug]/page.tsx</w:t>
            </w:r>
          </w:p>
        </w:tc>
      </w:tr>
      <w:tr>
        <w:tc>
          <w:tcPr>
            <w:tcW w:type="dxa" w:w="4320"/>
          </w:tcPr>
          <w:p>
            <w:r>
              <w:t>Ingestion API (Sheets)</w:t>
            </w:r>
          </w:p>
        </w:tc>
        <w:tc>
          <w:tcPr>
            <w:tcW w:type="dxa" w:w="4320"/>
          </w:tcPr>
          <w:p>
            <w:r>
              <w:t>app/api/ingest/sheets/route.ts</w:t>
            </w:r>
          </w:p>
        </w:tc>
      </w:tr>
      <w:tr>
        <w:tc>
          <w:tcPr>
            <w:tcW w:type="dxa" w:w="4320"/>
          </w:tcPr>
          <w:p>
            <w:r>
              <w:t>Ingestion API (CSV)</w:t>
            </w:r>
          </w:p>
        </w:tc>
        <w:tc>
          <w:tcPr>
            <w:tcW w:type="dxa" w:w="4320"/>
          </w:tcPr>
          <w:p>
            <w:r>
              <w:t>app/api/ingest/csv/route.ts</w:t>
            </w:r>
          </w:p>
        </w:tc>
      </w:tr>
      <w:tr>
        <w:tc>
          <w:tcPr>
            <w:tcW w:type="dxa" w:w="4320"/>
          </w:tcPr>
          <w:p>
            <w:r>
              <w:t>Metrics API</w:t>
            </w:r>
          </w:p>
        </w:tc>
        <w:tc>
          <w:tcPr>
            <w:tcW w:type="dxa" w:w="4320"/>
          </w:tcPr>
          <w:p>
            <w:r>
              <w:t>app/api/clients/[slug]/metrics/route.ts</w:t>
            </w:r>
          </w:p>
        </w:tc>
      </w:tr>
      <w:tr>
        <w:tc>
          <w:tcPr>
            <w:tcW w:type="dxa" w:w="4320"/>
          </w:tcPr>
          <w:p>
            <w:r>
              <w:t>AI Mapper</w:t>
            </w:r>
          </w:p>
        </w:tc>
        <w:tc>
          <w:tcPr>
            <w:tcW w:type="dxa" w:w="4320"/>
          </w:tcPr>
          <w:p>
            <w:r>
              <w:t>lib/ingest/metric-mapper.ts</w:t>
            </w:r>
          </w:p>
        </w:tc>
      </w:tr>
      <w:tr>
        <w:tc>
          <w:tcPr>
            <w:tcW w:type="dxa" w:w="4320"/>
          </w:tcPr>
          <w:p>
            <w:r>
              <w:t>Funnel metric definitions</w:t>
            </w:r>
          </w:p>
        </w:tc>
        <w:tc>
          <w:tcPr>
            <w:tcW w:type="dxa" w:w="4320"/>
          </w:tcPr>
          <w:p>
            <w:r>
              <w:t>lib/metrics/call-funnel.ts, webinar-funnel.ts, challenge-funnel.ts</w:t>
            </w:r>
          </w:p>
        </w:tc>
      </w:tr>
      <w:tr>
        <w:tc>
          <w:tcPr>
            <w:tcW w:type="dxa" w:w="4320"/>
          </w:tcPr>
          <w:p>
            <w:r>
              <w:t>Dashboard components</w:t>
            </w:r>
          </w:p>
        </w:tc>
        <w:tc>
          <w:tcPr>
            <w:tcW w:type="dxa" w:w="4320"/>
          </w:tcPr>
          <w:p>
            <w:r>
              <w:t>components/dashboard/client/*.tsx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