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20" w:before="0"/>
        <w:jc w:val="center"/>
      </w:pPr>
      <w:r>
        <w:rPr>
          <w:rFonts w:ascii="Calibri" w:cs="Calibri" w:eastAsia="Calibri" w:hAnsi="Calibri"/>
          <w:b/>
          <w:bCs/>
          <w:color w:val="1F3864"/>
          <w:sz w:val="52"/>
          <w:szCs w:val="52"/>
        </w:rPr>
        <w:t xml:space="preserve">European Automaker</w:t>
      </w:r>
    </w:p>
    <w:p>
      <w:pPr>
        <w:spacing w:after="120" w:before="0"/>
        <w:jc w:val="center"/>
      </w:pPr>
      <w:r>
        <w:rPr>
          <w:rFonts w:ascii="Calibri" w:cs="Calibri" w:eastAsia="Calibri" w:hAnsi="Calibri"/>
          <w:b/>
          <w:bCs/>
          <w:color w:val="2E74B5"/>
          <w:sz w:val="52"/>
          <w:szCs w:val="52"/>
        </w:rPr>
        <w:t xml:space="preserve">Financial Dashboard</w:t>
      </w:r>
    </w:p>
    <w:p>
      <w:pPr>
        <w:spacing w:after="600" w:before="0"/>
        <w:jc w:val="center"/>
      </w:pPr>
      <w:r>
        <w:rPr>
          <w:rFonts w:ascii="Calibri" w:cs="Calibri" w:eastAsia="Calibri" w:hAnsi="Calibri"/>
          <w:i/>
          <w:iCs/>
          <w:color w:val="404040"/>
          <w:sz w:val="24"/>
          <w:szCs w:val="24"/>
        </w:rPr>
        <w:t xml:space="preserve">Project Idea and Specification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Companies</w:t>
            </w:r>
          </w:p>
        </w:tc>
        <w:tc>
          <w:tcPr>
            <w:tcW w:type="dxa" w:w="5000"/>
            <w:shd w:fill="EBF3FB" w:val="clear"/>
            <w:tcMar>
              <w:top w:type="dxa" w:w="80"/>
              <w:left w:type="dxa" w:w="140"/>
              <w:bottom w:type="dxa" w:w="80"/>
              <w:right w:type="dxa" w:w="140"/>
            </w:tcMar>
          </w:tcPr>
          <w:p>
            <w:r>
              <w:rPr>
                <w:rFonts w:ascii="Calibri" w:cs="Calibri" w:eastAsia="Calibri" w:hAnsi="Calibri"/>
                <w:color w:val="1A1A1A"/>
                <w:sz w:val="18"/>
                <w:szCs w:val="18"/>
              </w:rPr>
              <w:t xml:space="preserve">Mercedes-Benz, BMW, Volkswagen, Stellantis, Renault</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Data source</w:t>
            </w:r>
          </w:p>
        </w:tc>
        <w:tc>
          <w:tcPr>
            <w:tcW w:type="dxa" w:w="5000"/>
            <w:shd w:fill="FFFFFF" w:val="clear"/>
            <w:tcMar>
              <w:top w:type="dxa" w:w="80"/>
              <w:left w:type="dxa" w:w="140"/>
              <w:bottom w:type="dxa" w:w="80"/>
              <w:right w:type="dxa" w:w="140"/>
            </w:tcMar>
          </w:tcPr>
          <w:p>
            <w:r>
              <w:rPr>
                <w:rFonts w:ascii="Calibri" w:cs="Calibri" w:eastAsia="Calibri" w:hAnsi="Calibri"/>
                <w:color w:val="1A1A1A"/>
                <w:sz w:val="18"/>
                <w:szCs w:val="18"/>
              </w:rPr>
              <w:t xml:space="preserve">Yahoo Finance via yfinance (free, no API key)</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Stack</w:t>
            </w:r>
          </w:p>
        </w:tc>
        <w:tc>
          <w:tcPr>
            <w:tcW w:type="dxa" w:w="5000"/>
            <w:shd w:fill="EBF3FB" w:val="clear"/>
            <w:tcMar>
              <w:top w:type="dxa" w:w="80"/>
              <w:left w:type="dxa" w:w="140"/>
              <w:bottom w:type="dxa" w:w="80"/>
              <w:right w:type="dxa" w:w="140"/>
            </w:tcMar>
          </w:tcPr>
          <w:p>
            <w:r>
              <w:rPr>
                <w:rFonts w:ascii="Calibri" w:cs="Calibri" w:eastAsia="Calibri" w:hAnsi="Calibri"/>
                <w:color w:val="1A1A1A"/>
                <w:sz w:val="18"/>
                <w:szCs w:val="18"/>
              </w:rPr>
              <w:t xml:space="preserve">Python, pandas, NumPy, Plotly, Streamlit, scikit-learn</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Deployment</w:t>
            </w:r>
          </w:p>
        </w:tc>
        <w:tc>
          <w:tcPr>
            <w:tcW w:type="dxa" w:w="5000"/>
            <w:shd w:fill="FFFFFF" w:val="clear"/>
            <w:tcMar>
              <w:top w:type="dxa" w:w="80"/>
              <w:left w:type="dxa" w:w="140"/>
              <w:bottom w:type="dxa" w:w="80"/>
              <w:right w:type="dxa" w:w="140"/>
            </w:tcMar>
          </w:tcPr>
          <w:p>
            <w:r>
              <w:rPr>
                <w:rFonts w:ascii="Calibri" w:cs="Calibri" w:eastAsia="Calibri" w:hAnsi="Calibri"/>
                <w:color w:val="1A1A1A"/>
                <w:sz w:val="18"/>
                <w:szCs w:val="18"/>
              </w:rPr>
              <w:t xml:space="preserve">Streamlit Community Cloud</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Total cost</w:t>
            </w:r>
          </w:p>
        </w:tc>
        <w:tc>
          <w:tcPr>
            <w:tcW w:type="dxa" w:w="5000"/>
            <w:shd w:fill="EBF3FB" w:val="clear"/>
            <w:tcMar>
              <w:top w:type="dxa" w:w="80"/>
              <w:left w:type="dxa" w:w="140"/>
              <w:bottom w:type="dxa" w:w="80"/>
              <w:right w:type="dxa" w:w="140"/>
            </w:tcMar>
          </w:tcPr>
          <w:p>
            <w:r>
              <w:rPr>
                <w:rFonts w:ascii="Calibri" w:cs="Calibri" w:eastAsia="Calibri" w:hAnsi="Calibri"/>
                <w:color w:val="1A1A1A"/>
                <w:sz w:val="18"/>
                <w:szCs w:val="18"/>
              </w:rPr>
              <w:t xml:space="preserve">EUR 0</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Estimated build time</w:t>
            </w:r>
          </w:p>
        </w:tc>
        <w:tc>
          <w:tcPr>
            <w:tcW w:type="dxa" w:w="5000"/>
            <w:shd w:fill="FFFFFF" w:val="clear"/>
            <w:tcMar>
              <w:top w:type="dxa" w:w="80"/>
              <w:left w:type="dxa" w:w="140"/>
              <w:bottom w:type="dxa" w:w="80"/>
              <w:right w:type="dxa" w:w="140"/>
            </w:tcMar>
          </w:tcPr>
          <w:p>
            <w:r>
              <w:rPr>
                <w:rFonts w:ascii="Calibri" w:cs="Calibri" w:eastAsia="Calibri" w:hAnsi="Calibri"/>
                <w:color w:val="1A1A1A"/>
                <w:sz w:val="18"/>
                <w:szCs w:val="18"/>
              </w:rPr>
              <w:t xml:space="preserve">2 to 3 weekends</w:t>
            </w:r>
          </w:p>
        </w:tc>
      </w:tr>
      <w:tr>
        <w:tc>
          <w:tcPr>
            <w:tcW w:type="dxa" w:w="2200"/>
            <w:shd w:fill="1F3864" w:val="clear"/>
            <w:tcMar>
              <w:top w:type="dxa" w:w="80"/>
              <w:left w:type="dxa" w:w="140"/>
              <w:bottom w:type="dxa" w:w="80"/>
              <w:right w:type="dxa" w:w="140"/>
            </w:tcMar>
          </w:tcPr>
          <w:p>
            <w:r>
              <w:rPr>
                <w:rFonts w:ascii="Calibri" w:cs="Calibri" w:eastAsia="Calibri" w:hAnsi="Calibri"/>
                <w:b/>
                <w:bCs/>
                <w:color w:val="FFFFFF"/>
                <w:sz w:val="18"/>
                <w:szCs w:val="18"/>
              </w:rPr>
              <w:t xml:space="preserve">Target audience</w:t>
            </w:r>
          </w:p>
        </w:tc>
        <w:tc>
          <w:tcPr>
            <w:tcW w:type="dxa" w:w="5000"/>
            <w:shd w:fill="EBF3FB" w:val="clear"/>
            <w:tcMar>
              <w:top w:type="dxa" w:w="80"/>
              <w:left w:type="dxa" w:w="140"/>
              <w:bottom w:type="dxa" w:w="80"/>
              <w:right w:type="dxa" w:w="140"/>
            </w:tcMar>
          </w:tcPr>
          <w:p>
            <w:r>
              <w:rPr>
                <w:rFonts w:ascii="Calibri" w:cs="Calibri" w:eastAsia="Calibri" w:hAnsi="Calibri"/>
                <w:color w:val="1A1A1A"/>
                <w:sz w:val="18"/>
                <w:szCs w:val="18"/>
              </w:rPr>
              <w:t xml:space="preserve">IB, Quant, FinTech, and Data Analytics recruiters</w:t>
            </w:r>
          </w:p>
        </w:tc>
      </w:tr>
    </w:tbl>
    <w:p>
      <w:pPr>
        <w:spacing w:after="80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1. What This Project Is</w:t>
      </w:r>
    </w:p>
    <w:p>
      <w:pPr>
        <w:spacing w:after="140" w:before="0"/>
      </w:pPr>
      <w:r>
        <w:rPr>
          <w:rFonts w:ascii="Calibri" w:cs="Calibri" w:eastAsia="Calibri" w:hAnsi="Calibri"/>
          <w:color w:val="1A1A1A"/>
          <w:sz w:val="20"/>
          <w:szCs w:val="20"/>
        </w:rPr>
        <w:t xml:space="preserve">This project is a live, interactive financial dashboard that compares five of the largest European automakers side by side: Mercedes-Benz, BMW, Volkswagen, Stellantis, and Renault. The dashboard pulls real financial data from Yahoo Finance, processes it in Python, and presents it through a Streamlit web application that anyone can open in a browser.</w:t>
      </w:r>
    </w:p>
    <w:p>
      <w:pPr>
        <w:spacing w:after="140" w:before="0"/>
      </w:pPr>
      <w:r>
        <w:rPr>
          <w:rFonts w:ascii="Calibri" w:cs="Calibri" w:eastAsia="Calibri" w:hAnsi="Calibri"/>
          <w:color w:val="1A1A1A"/>
          <w:sz w:val="20"/>
          <w:szCs w:val="20"/>
        </w:rPr>
        <w:t xml:space="preserve">The key word is live. Unlike a notebook with downloaded data or a static chart, this app fetches fresh data on load and refreshes it automatically. That distinction matters both technically and in terms of how you present the project: you are demonstrating a working data pipeline, not just a data visualization exercise.</w:t>
      </w:r>
    </w:p>
    <w:p>
      <w:pPr>
        <w:spacing w:after="140" w:before="0"/>
      </w:pPr>
      <w:r>
        <w:rPr>
          <w:rFonts w:ascii="Calibri" w:cs="Calibri" w:eastAsia="Calibri" w:hAnsi="Calibri"/>
          <w:color w:val="1A1A1A"/>
          <w:sz w:val="20"/>
          <w:szCs w:val="20"/>
        </w:rPr>
        <w:t xml:space="preserve">The end result is a public URL you deploy for free on Streamlit Community Cloud. That URL goes on your CV and your GitHub README. A recruiter can click it, interact with the charts, change the selected company, move the date slider, and see the data update. That kind of demonstrable, live project is genuinely rare at student level and stands out clearly against a PDF of charts or a notebook screenshot.</w:t>
      </w:r>
    </w:p>
    <w:p>
      <w:pPr>
        <w:spacing w:after="80" w:before="0"/>
      </w:pPr>
    </w:p>
    <w:p>
      <w:pPr>
        <w:pStyle w:val="Heading2"/>
        <w:spacing w:after="100" w:before="300"/>
      </w:pPr>
      <w:r>
        <w:rPr>
          <w:rFonts w:ascii="Calibri" w:cs="Calibri" w:eastAsia="Calibri" w:hAnsi="Calibri"/>
          <w:b/>
          <w:bCs/>
          <w:color w:val="2E74B5"/>
          <w:sz w:val="24"/>
          <w:szCs w:val="24"/>
        </w:rPr>
        <w:t xml:space="preserve">Why a sector comparison rather than a single company</w:t>
      </w:r>
    </w:p>
    <w:p>
      <w:pPr>
        <w:spacing w:after="140" w:before="0"/>
      </w:pPr>
      <w:r>
        <w:rPr>
          <w:rFonts w:ascii="Calibri" w:cs="Calibri" w:eastAsia="Calibri" w:hAnsi="Calibri"/>
          <w:color w:val="1A1A1A"/>
          <w:sz w:val="20"/>
          <w:szCs w:val="20"/>
        </w:rPr>
        <w:t xml:space="preserve">The obvious version of this project would be a dashboard for one company, say Mercedes-Benz, showing its financials over time. That is a reasonable idea but a common one, and it misses something important: no analyst looks at a company in isolation. Every metric is relative. A P/E ratio of 6 is cheap if the sector average is 9 and expensive if competitors are trading at 4. A 12 percent EBITDA margin is strong or weak depending entirely on what peers are achieving.</w:t>
      </w:r>
    </w:p>
    <w:p>
      <w:pPr>
        <w:spacing w:after="140" w:before="0"/>
      </w:pPr>
      <w:r>
        <w:rPr>
          <w:rFonts w:ascii="Calibri" w:cs="Calibri" w:eastAsia="Calibri" w:hAnsi="Calibri"/>
          <w:color w:val="1A1A1A"/>
          <w:sz w:val="20"/>
          <w:szCs w:val="20"/>
        </w:rPr>
        <w:t xml:space="preserve">By covering all five companies simultaneously, the dashboard forces a peer comparison perspective that is much closer to how investment analysts, equity research teams, and corporate finance professionals actually think. It also makes the project more interesting technically, because you have to handle multiple data streams, align them on common dates, and design charts that make five data series readable at once rather than just plotting one line.</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single" w:color="2E74B5" w:sz="18"/>
              <w:bottom w:val="none"/>
              <w:right w:val="none"/>
            </w:tcBorders>
            <w:shd w:fill="EBF3FB" w:val="clear"/>
            <w:tcMar>
              <w:top w:type="dxa" w:w="100"/>
              <w:left w:type="dxa" w:w="200"/>
              <w:bottom w:type="dxa" w:w="100"/>
              <w:right w:type="dxa" w:w="140"/>
            </w:tcMar>
          </w:tcPr>
          <w:p>
            <w:r>
              <w:rPr>
                <w:rFonts w:ascii="Calibri" w:cs="Calibri" w:eastAsia="Calibri" w:hAnsi="Calibri"/>
                <w:i/>
                <w:iCs/>
                <w:color w:val="1A1A1A"/>
                <w:sz w:val="20"/>
                <w:szCs w:val="20"/>
              </w:rPr>
              <w:t xml:space="preserve">The sector comparison framing is the single most important design decision in this project. It transforms a data visualization exercise into something that demonstrates genuine financial thinking.</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2. Data Source</w:t>
      </w:r>
    </w:p>
    <w:p>
      <w:pPr>
        <w:spacing w:after="140" w:before="0"/>
      </w:pPr>
      <w:r>
        <w:rPr>
          <w:rFonts w:ascii="Calibri" w:cs="Calibri" w:eastAsia="Calibri" w:hAnsi="Calibri"/>
          <w:color w:val="1A1A1A"/>
          <w:sz w:val="20"/>
          <w:szCs w:val="20"/>
        </w:rPr>
        <w:t xml:space="preserve">The entire project uses yfinance, an unofficial Python wrapper for Yahoo Finance. It requires no API key, has no meaningful rate limits for personal use, and covers everything this dashboard needs: daily price history going back many years, annual income statements, balance sheets, cash flow statements, and live snapshot data including current valuation multiples.</w:t>
      </w:r>
    </w:p>
    <w:p>
      <w:pPr>
        <w:spacing w:after="140" w:before="0"/>
      </w:pPr>
      <w:r>
        <w:rPr>
          <w:rFonts w:ascii="Calibri" w:cs="Calibri" w:eastAsia="Calibri" w:hAnsi="Calibri"/>
          <w:color w:val="1A1A1A"/>
          <w:sz w:val="20"/>
          <w:szCs w:val="20"/>
        </w:rPr>
        <w:t xml:space="preserve">This is the right choice for a portfolio project because it keeps the setup frictionless. There is no account to create, no credit card to provide, and no quota to monitor. Anyone who clones your repository can run it immediately with a single pip install command.</w:t>
      </w:r>
    </w:p>
    <w:p>
      <w:pPr>
        <w:spacing w:after="80" w:before="0"/>
      </w:pPr>
    </w:p>
    <w:p>
      <w:pPr>
        <w:pStyle w:val="Heading2"/>
        <w:spacing w:after="100" w:before="300"/>
      </w:pPr>
      <w:r>
        <w:rPr>
          <w:rFonts w:ascii="Calibri" w:cs="Calibri" w:eastAsia="Calibri" w:hAnsi="Calibri"/>
          <w:b/>
          <w:bCs/>
          <w:color w:val="2E74B5"/>
          <w:sz w:val="24"/>
          <w:szCs w:val="24"/>
        </w:rPr>
        <w:t xml:space="preserve">The five tickers</w:t>
      </w:r>
    </w:p>
    <w:p>
      <w:pPr>
        <w:spacing w:after="140" w:before="0"/>
      </w:pPr>
      <w:r>
        <w:rPr>
          <w:rFonts w:ascii="Calibri" w:cs="Calibri" w:eastAsia="Calibri" w:hAnsi="Calibri"/>
          <w:color w:val="1A1A1A"/>
          <w:sz w:val="20"/>
          <w:szCs w:val="20"/>
        </w:rPr>
        <w:t xml:space="preserve">Each company trades on its local European exchange, and yfinance accesses them through their exchange-specific ticker symbols. Mercedes-Benz trades on Frankfurt as MBG.DE. BMW trades on Frankfurt as BMW.DE. Volkswagen trades on Frankfurt as VOW3.DE, where the 3 designates the ordinary shares rather than the preferred shares. Stellantis, formed from the merger of Fiat Chrysler and PSA Group, trades on Milan as STLAM.MI. Renault trades on Paris as RNO.PA.</w:t>
      </w:r>
    </w:p>
    <w:p>
      <w:pPr>
        <w:spacing w:after="140" w:before="0"/>
      </w:pPr>
      <w:r>
        <w:rPr>
          <w:rFonts w:ascii="Calibri" w:cs="Calibri" w:eastAsia="Calibri" w:hAnsi="Calibri"/>
          <w:color w:val="1A1A1A"/>
          <w:sz w:val="20"/>
          <w:szCs w:val="20"/>
        </w:rPr>
        <w:t xml:space="preserve">All five have good historical data coverage on Yahoo Finance, with annual financial statements going back at least five years. If you encounter any data gaps, yfinance's get method accepts a fallback or you can simply drop missing values and note it in the chart.</w:t>
      </w:r>
    </w:p>
    <w:p>
      <w:pPr>
        <w:spacing w:after="80" w:before="0"/>
      </w:pPr>
    </w:p>
    <w:p>
      <w:pPr>
        <w:pStyle w:val="Heading2"/>
        <w:spacing w:after="100" w:before="300"/>
      </w:pPr>
      <w:r>
        <w:rPr>
          <w:rFonts w:ascii="Calibri" w:cs="Calibri" w:eastAsia="Calibri" w:hAnsi="Calibri"/>
          <w:b/>
          <w:bCs/>
          <w:color w:val="2E74B5"/>
          <w:sz w:val="24"/>
          <w:szCs w:val="24"/>
        </w:rPr>
        <w:t xml:space="preserve">What yfinance provides</w:t>
      </w:r>
    </w:p>
    <w:p>
      <w:pPr>
        <w:spacing w:after="140" w:before="0"/>
      </w:pPr>
      <w:r>
        <w:rPr>
          <w:rFonts w:ascii="Calibri" w:cs="Calibri" w:eastAsia="Calibri" w:hAnsi="Calibri"/>
          <w:color w:val="1A1A1A"/>
          <w:sz w:val="20"/>
          <w:szCs w:val="20"/>
        </w:rPr>
        <w:t xml:space="preserve">Through the Ticker object, yfinance exposes several data categories that map directly to the four dashboard panels. The price history method returns a DataFrame of daily open, high, low, close, and volume data with adjusted closing prices that account for dividends and splits, which is what you want for any return calculation. The financials property returns the annual income statement, covering revenue, gross profit, operating income, EBITDA, and net income. The balance sheet property returns assets, liabilities, and equity. The cash flow property returns operating, investing, and financing cash flows. The info property returns a dictionary of current snapshot data including market capitalization, trailing P/E ratio, price-to-book ratio, and EV/EBITDA.</w:t>
      </w:r>
    </w:p>
    <w:p>
      <w:pPr>
        <w:spacing w:after="140" w:before="0"/>
      </w:pPr>
      <w:r>
        <w:rPr>
          <w:rFonts w:ascii="Calibri" w:cs="Calibri" w:eastAsia="Calibri" w:hAnsi="Calibri"/>
          <w:color w:val="1A1A1A"/>
          <w:sz w:val="20"/>
          <w:szCs w:val="20"/>
        </w:rPr>
        <w:t xml:space="preserve">One practical detail worth knowing early: the financial statement DataFrames come with fiscal year end dates as column headers, ordered most recent first. You will want to reverse that order before building any charts so that time reads left to right. This is a one-line pandas operation but easy to forget, and it produces charts that are visually confusing if you miss it.</w:t>
      </w:r>
    </w:p>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3. The Four Dashboard Panels</w:t>
      </w:r>
    </w:p>
    <w:p>
      <w:pPr>
        <w:spacing w:after="140" w:before="0"/>
      </w:pPr>
      <w:r>
        <w:rPr>
          <w:rFonts w:ascii="Calibri" w:cs="Calibri" w:eastAsia="Calibri" w:hAnsi="Calibri"/>
          <w:color w:val="1A1A1A"/>
          <w:sz w:val="20"/>
          <w:szCs w:val="20"/>
        </w:rPr>
        <w:t xml:space="preserve">The dashboard is organized into four tabs, each covering a different analytical lens. Together they move from market perception (stock performance and valuation) to fundamental reality (financial results) to forward-looking expectation (the forecast). That progression is intentional and mirrors how a proper equity analysis is structured.</w:t>
      </w:r>
    </w:p>
    <w:p>
      <w:pPr>
        <w:spacing w:after="80" w:before="0"/>
      </w:pPr>
    </w:p>
    <w:p>
      <w:pPr>
        <w:pStyle w:val="Heading2"/>
        <w:spacing w:after="100" w:before="300"/>
      </w:pPr>
      <w:r>
        <w:rPr>
          <w:rFonts w:ascii="Calibri" w:cs="Calibri" w:eastAsia="Calibri" w:hAnsi="Calibri"/>
          <w:b/>
          <w:bCs/>
          <w:color w:val="2E74B5"/>
          <w:sz w:val="24"/>
          <w:szCs w:val="24"/>
        </w:rPr>
        <w:t xml:space="preserve">Panel 1: Stock Performance</w:t>
      </w:r>
    </w:p>
    <w:p>
      <w:pPr>
        <w:spacing w:after="140" w:before="0"/>
      </w:pPr>
      <w:r>
        <w:rPr>
          <w:rFonts w:ascii="Calibri" w:cs="Calibri" w:eastAsia="Calibri" w:hAnsi="Calibri"/>
          <w:color w:val="1A1A1A"/>
          <w:sz w:val="20"/>
          <w:szCs w:val="20"/>
        </w:rPr>
        <w:t xml:space="preserve">This panel shows how the five stocks have performed relative to each other over a user-selected time period. The key design choice here is normalization. Rather than plotting raw share prices, which are in different currencies and at wildly different absolute levels, you index all five to a starting value of 100 on the first day of the selected period and plot the percentage change from that baseline.</w:t>
      </w:r>
    </w:p>
    <w:p>
      <w:pPr>
        <w:spacing w:after="140" w:before="0"/>
      </w:pPr>
      <w:r>
        <w:rPr>
          <w:rFonts w:ascii="Calibri" w:cs="Calibri" w:eastAsia="Calibri" w:hAnsi="Calibri"/>
          <w:color w:val="1A1A1A"/>
          <w:sz w:val="20"/>
          <w:szCs w:val="20"/>
        </w:rPr>
        <w:t xml:space="preserve">The practical effect is that a stock that has gained 40 percent shows a value of 140 regardless of whether it started at 8 euros or 800 euros, making the five companies directly comparable on a single chart. The user should be able to choose the start date from a date picker control, so they can look at performance since the start of 2020, since the COVID trough, since a specific earnings announcement, or whatever period they find interesting.</w:t>
      </w:r>
    </w:p>
    <w:p>
      <w:pPr>
        <w:spacing w:after="140" w:before="0"/>
      </w:pPr>
      <w:r>
        <w:rPr>
          <w:rFonts w:ascii="Calibri" w:cs="Calibri" w:eastAsia="Calibri" w:hAnsi="Calibri"/>
          <w:color w:val="1A1A1A"/>
          <w:sz w:val="20"/>
          <w:szCs w:val="20"/>
        </w:rPr>
        <w:t xml:space="preserve">The chart should also include a horizontal reference line at 100, representing a flat return from the start date. Any company above the line has generated a positive return from that point; any company below has lost value. This makes the chart immediately readable without any explanation.</w:t>
      </w:r>
    </w:p>
    <w:p>
      <w:pPr>
        <w:spacing w:after="140" w:before="0"/>
      </w:pPr>
      <w:r>
        <w:rPr>
          <w:rFonts w:ascii="Calibri" w:cs="Calibri" w:eastAsia="Calibri" w:hAnsi="Calibri"/>
          <w:color w:val="1A1A1A"/>
          <w:sz w:val="20"/>
          <w:szCs w:val="20"/>
        </w:rPr>
        <w:t xml:space="preserve">A useful addition is a hover tooltip that shows the exact indexed value and the implied percentage return for each company at any given date, displayed as a unified tooltip that activates on the vertical date line rather than requiring the user to hover over each line individually. Plotly handles this natively with hovermode set to x unified.</w:t>
      </w:r>
    </w:p>
    <w:p>
      <w:pPr>
        <w:spacing w:after="80" w:before="0"/>
      </w:pPr>
    </w:p>
    <w:p>
      <w:pPr>
        <w:pStyle w:val="Heading2"/>
        <w:spacing w:after="100" w:before="300"/>
      </w:pPr>
      <w:r>
        <w:rPr>
          <w:rFonts w:ascii="Calibri" w:cs="Calibri" w:eastAsia="Calibri" w:hAnsi="Calibri"/>
          <w:b/>
          <w:bCs/>
          <w:color w:val="2E74B5"/>
          <w:sz w:val="24"/>
          <w:szCs w:val="24"/>
        </w:rPr>
        <w:t xml:space="preserve">Panel 2: Valuation Multiples</w:t>
      </w:r>
    </w:p>
    <w:p>
      <w:pPr>
        <w:spacing w:after="140" w:before="0"/>
      </w:pPr>
      <w:r>
        <w:rPr>
          <w:rFonts w:ascii="Calibri" w:cs="Calibri" w:eastAsia="Calibri" w:hAnsi="Calibri"/>
          <w:color w:val="1A1A1A"/>
          <w:sz w:val="20"/>
          <w:szCs w:val="20"/>
        </w:rPr>
        <w:t xml:space="preserve">This panel shows current valuation multiples for all five companies side by side, allowing immediate relative comparison. The three metrics to show are the trailing price-to-earnings ratio, EV to EBITDA, and price to book value. These are the standard entry-point multiples for an automotive sector screen.</w:t>
      </w:r>
    </w:p>
    <w:p>
      <w:pPr>
        <w:spacing w:after="140" w:before="0"/>
      </w:pPr>
      <w:r>
        <w:rPr>
          <w:rFonts w:ascii="Calibri" w:cs="Calibri" w:eastAsia="Calibri" w:hAnsi="Calibri"/>
          <w:color w:val="1A1A1A"/>
          <w:sz w:val="20"/>
          <w:szCs w:val="20"/>
        </w:rPr>
        <w:t xml:space="preserve">The trailing P/E ratio compares the stock price to the most recent twelve months of earnings per share. It measures how much the market is paying for each unit of current profit. A lower P/E relative to peers suggests the market views the company as less attractive or riskier, while a higher P/E suggests stronger expected growth or higher quality. In the automotive sector, P/E ratios tend to be low relative to the broader market because the industry is capital-intensive and cyclical.</w:t>
      </w:r>
    </w:p>
    <w:p>
      <w:pPr>
        <w:spacing w:after="140" w:before="0"/>
      </w:pPr>
      <w:r>
        <w:rPr>
          <w:rFonts w:ascii="Calibri" w:cs="Calibri" w:eastAsia="Calibri" w:hAnsi="Calibri"/>
          <w:color w:val="1A1A1A"/>
          <w:sz w:val="20"/>
          <w:szCs w:val="20"/>
        </w:rPr>
        <w:t xml:space="preserve">EV to EBITDA compares enterprise value, which is market cap plus net debt, to earnings before interest, taxes, depreciation, and amortization. It is preferred over P/E for cross-company comparisons because it is unaffected by differences in capital structure or accounting depreciation policies between companies. For capital-heavy industries like automotive manufacturing, where depreciation figures are large and variable, this matters.</w:t>
      </w:r>
    </w:p>
    <w:p>
      <w:pPr>
        <w:spacing w:after="140" w:before="0"/>
      </w:pPr>
      <w:r>
        <w:rPr>
          <w:rFonts w:ascii="Calibri" w:cs="Calibri" w:eastAsia="Calibri" w:hAnsi="Calibri"/>
          <w:color w:val="1A1A1A"/>
          <w:sz w:val="20"/>
          <w:szCs w:val="20"/>
        </w:rPr>
        <w:t xml:space="preserve">Price to book compares the market value to the accounting book value of equity. For automotive companies with substantial tangible assets including factories, tooling, and inventory, book value has real meaning and P/B is a useful secondary check.</w:t>
      </w:r>
    </w:p>
    <w:p>
      <w:pPr>
        <w:spacing w:after="140" w:before="0"/>
      </w:pPr>
      <w:r>
        <w:rPr>
          <w:rFonts w:ascii="Calibri" w:cs="Calibri" w:eastAsia="Calibri" w:hAnsi="Calibri"/>
          <w:color w:val="1A1A1A"/>
          <w:sz w:val="20"/>
          <w:szCs w:val="20"/>
        </w:rPr>
        <w:t xml:space="preserve">Display the three multiples as grouped bar charts in a single row, with the companies on the x-axis and the multiple value on the y-axis. Sort bars from lowest to highest within each chart so the valuation ranking is immediately obvious. Color-code consistently across all three charts so the same company always appears in the same color.</w:t>
      </w:r>
    </w:p>
    <w:p>
      <w:pPr>
        <w:spacing w:after="140" w:before="0"/>
      </w:pPr>
      <w:r>
        <w:rPr>
          <w:rFonts w:ascii="Calibri" w:cs="Calibri" w:eastAsia="Calibri" w:hAnsi="Calibri"/>
          <w:color w:val="1A1A1A"/>
          <w:sz w:val="20"/>
          <w:szCs w:val="20"/>
        </w:rPr>
        <w:t xml:space="preserve">Below the charts, include a simple data table showing the raw figures so the user can read exact values rather than estimating from bar heights. Streamlit's dataframe display handles this with minimal code.</w:t>
      </w:r>
    </w:p>
    <w:p>
      <w:pPr>
        <w:spacing w:after="80" w:before="0"/>
      </w:pPr>
    </w:p>
    <w:p>
      <w:pPr>
        <w:pStyle w:val="Heading2"/>
        <w:spacing w:after="100" w:before="300"/>
      </w:pPr>
      <w:r>
        <w:rPr>
          <w:rFonts w:ascii="Calibri" w:cs="Calibri" w:eastAsia="Calibri" w:hAnsi="Calibri"/>
          <w:b/>
          <w:bCs/>
          <w:color w:val="2E74B5"/>
          <w:sz w:val="24"/>
          <w:szCs w:val="24"/>
        </w:rPr>
        <w:t xml:space="preserve">Panel 3: Fundamental Financials</w:t>
      </w:r>
    </w:p>
    <w:p>
      <w:pPr>
        <w:spacing w:after="140" w:before="0"/>
      </w:pPr>
      <w:r>
        <w:rPr>
          <w:rFonts w:ascii="Calibri" w:cs="Calibri" w:eastAsia="Calibri" w:hAnsi="Calibri"/>
          <w:color w:val="1A1A1A"/>
          <w:sz w:val="20"/>
          <w:szCs w:val="20"/>
        </w:rPr>
        <w:t xml:space="preserve">This panel moves from market-based metrics to accounting-based ones, showing what each company has actually delivered financially over the past four to five fiscal years. Use a company selector control, either a dropdown or radio buttons, so the user can switch between the five companies and see their individual historical financials.</w:t>
      </w:r>
    </w:p>
    <w:p>
      <w:pPr>
        <w:spacing w:after="140" w:before="0"/>
      </w:pPr>
      <w:r>
        <w:rPr>
          <w:rFonts w:ascii="Calibri" w:cs="Calibri" w:eastAsia="Calibri" w:hAnsi="Calibri"/>
          <w:color w:val="1A1A1A"/>
          <w:sz w:val="20"/>
          <w:szCs w:val="20"/>
        </w:rPr>
        <w:t xml:space="preserve">Show revenue as the primary metric, displayed as bars with the fiscal year on the x-axis and billions of euros on the y-axis. Revenue is the top-line figure and the clearest indicator of scale and growth trajectory. Overlay net income as a line on a secondary y-axis so both metrics are visible on the same chart without one obscuring the other. The bar and line combination is a conventional choice for this type of presentation and immediately readable.</w:t>
      </w:r>
    </w:p>
    <w:p>
      <w:pPr>
        <w:spacing w:after="140" w:before="0"/>
      </w:pPr>
      <w:r>
        <w:rPr>
          <w:rFonts w:ascii="Calibri" w:cs="Calibri" w:eastAsia="Calibri" w:hAnsi="Calibri"/>
          <w:color w:val="1A1A1A"/>
          <w:sz w:val="20"/>
          <w:szCs w:val="20"/>
        </w:rPr>
        <w:t xml:space="preserve">Below the main chart, add a separate panel showing EBITDA margin as a percentage over the same time period. Margin is arguably more important than absolute profit figures for cross-company comparison because it removes the effect of scale differences. A company with higher revenue is not necessarily more efficient or more profitable per unit of output. Plotting EBITDA margin over time also reveals whether a company is becoming more or less operationally efficient, which is one of the most meaningful signals in a mature industry like automotive manufacturing.</w:t>
      </w:r>
    </w:p>
    <w:p>
      <w:pPr>
        <w:spacing w:after="140" w:before="0"/>
      </w:pPr>
      <w:r>
        <w:rPr>
          <w:rFonts w:ascii="Calibri" w:cs="Calibri" w:eastAsia="Calibri" w:hAnsi="Calibri"/>
          <w:color w:val="1A1A1A"/>
          <w:sz w:val="20"/>
          <w:szCs w:val="20"/>
        </w:rPr>
        <w:t xml:space="preserve">If yfinance does not return EBITDA directly for a given company in a given year, you can compute an approximation from the income statement by adding operating income and the depreciation and amortization line from the cash flow statement. This is standard practice and worth explaining briefly in a chart subtitle or tooltip.</w:t>
      </w:r>
    </w:p>
    <w:p>
      <w:pPr>
        <w:spacing w:after="80" w:before="0"/>
      </w:pPr>
    </w:p>
    <w:p>
      <w:pPr>
        <w:pStyle w:val="Heading2"/>
        <w:spacing w:after="100" w:before="300"/>
      </w:pPr>
      <w:r>
        <w:rPr>
          <w:rFonts w:ascii="Calibri" w:cs="Calibri" w:eastAsia="Calibri" w:hAnsi="Calibri"/>
          <w:b/>
          <w:bCs/>
          <w:color w:val="2E74B5"/>
          <w:sz w:val="24"/>
          <w:szCs w:val="24"/>
        </w:rPr>
        <w:t xml:space="preserve">Panel 4: Revenue Forecast</w:t>
      </w:r>
    </w:p>
    <w:p>
      <w:pPr>
        <w:spacing w:after="140" w:before="0"/>
      </w:pPr>
      <w:r>
        <w:rPr>
          <w:rFonts w:ascii="Calibri" w:cs="Calibri" w:eastAsia="Calibri" w:hAnsi="Calibri"/>
          <w:color w:val="1A1A1A"/>
          <w:sz w:val="20"/>
          <w:szCs w:val="20"/>
        </w:rPr>
        <w:t xml:space="preserve">This is the panel that differentiates the project from a straightforward data visualization. Most student dashboards show historical data and stop there. Adding a forward-looking model with explicit uncertainty demonstrates financial modeling thinking and separates the project from the crowd.</w:t>
      </w:r>
    </w:p>
    <w:p>
      <w:pPr>
        <w:spacing w:after="140" w:before="0"/>
      </w:pPr>
      <w:r>
        <w:rPr>
          <w:rFonts w:ascii="Calibri" w:cs="Calibri" w:eastAsia="Calibri" w:hAnsi="Calibri"/>
          <w:color w:val="1A1A1A"/>
          <w:sz w:val="20"/>
          <w:szCs w:val="20"/>
        </w:rPr>
        <w:t xml:space="preserve">The approach is a linear regression fitted to four or five years of annual revenue data, extended two years into the future. Use scikit-learn's LinearRegression class for the fit. The slope of the regression line captures the average annual revenue change implied by the historical data. Extending the line forward gives a central forecast. The uncertainty band comes from the standard deviation of the residuals, the differences between the historical fitted values and the actual figures, scaled to a 95 percent confidence interval using a factor of 1.96.</w:t>
      </w:r>
    </w:p>
    <w:p>
      <w:pPr>
        <w:spacing w:after="140" w:before="0"/>
      </w:pPr>
      <w:r>
        <w:rPr>
          <w:rFonts w:ascii="Calibri" w:cs="Calibri" w:eastAsia="Calibri" w:hAnsi="Calibri"/>
          <w:color w:val="1A1A1A"/>
          <w:sz w:val="20"/>
          <w:szCs w:val="20"/>
        </w:rPr>
        <w:t xml:space="preserve">Display the result as a bar chart for the historical years and a dashed line for the forecast years, with a shaded region around the forecast line representing the confidence band. The shading communicates uncertainty visually without requiring the reader to understand the statistics behind it.</w:t>
      </w:r>
    </w:p>
    <w:p>
      <w:pPr>
        <w:spacing w:after="140" w:before="0"/>
      </w:pPr>
      <w:r>
        <w:rPr>
          <w:rFonts w:ascii="Calibri" w:cs="Calibri" w:eastAsia="Calibri" w:hAnsi="Calibri"/>
          <w:color w:val="1A1A1A"/>
          <w:sz w:val="20"/>
          <w:szCs w:val="20"/>
        </w:rPr>
        <w:t xml:space="preserve">Label the chart clearly as a trend extrapolation rather than a valuation model. This is not dishonesty; it is accuracy. A linear trend on five data points is a reasonable starting point for a revenue trajectory, but it cannot account for cyclicality, macro shocks, management guidance, product cycle timing, or competitive dynamics. The appropriate thing to do is build it, display it, and be honest about what it is and is not. In fact, your ability to articulate those limitations clearly is exactly what makes this panel impressive in an interview context.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single" w:color="2E74B5" w:sz="18"/>
              <w:bottom w:val="none"/>
              <w:right w:val="none"/>
            </w:tcBorders>
            <w:shd w:fill="EBF3FB" w:val="clear"/>
            <w:tcMar>
              <w:top w:type="dxa" w:w="100"/>
              <w:left w:type="dxa" w:w="200"/>
              <w:bottom w:type="dxa" w:w="100"/>
              <w:right w:type="dxa" w:w="140"/>
            </w:tcMar>
          </w:tcPr>
          <w:p>
            <w:r>
              <w:rPr>
                <w:rFonts w:ascii="Calibri" w:cs="Calibri" w:eastAsia="Calibri" w:hAnsi="Calibri"/>
                <w:i/>
                <w:iCs/>
                <w:color w:val="1A1A1A"/>
                <w:sz w:val="20"/>
                <w:szCs w:val="20"/>
              </w:rPr>
              <w:t xml:space="preserve">When describing this panel to a recruiter or in an interview, lead with the limitation. Say: this is a linear trend extrapolation on five years of historical data. In practice you would layer management guidance, analyst consensus, and scenario assumptions on top. That framing shows analytical maturity.</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4. Technical Design</w:t>
      </w:r>
    </w:p>
    <w:p>
      <w:pPr>
        <w:spacing w:after="140" w:before="0"/>
      </w:pPr>
      <w:r>
        <w:rPr>
          <w:rFonts w:ascii="Calibri" w:cs="Calibri" w:eastAsia="Calibri" w:hAnsi="Calibri"/>
          <w:color w:val="1A1A1A"/>
          <w:sz w:val="20"/>
          <w:szCs w:val="20"/>
        </w:rPr>
        <w:t xml:space="preserve">The technical side of the project should be as clean and organized as the financial content. A recruiter who opens your GitHub repository and reads the code should immediately see structured, modular thinking rather than a monolithic script. This section covers how to organize the code and why each decision matters.</w:t>
      </w:r>
    </w:p>
    <w:p>
      <w:pPr>
        <w:spacing w:after="80" w:before="0"/>
      </w:pPr>
    </w:p>
    <w:p>
      <w:pPr>
        <w:pStyle w:val="Heading2"/>
        <w:spacing w:after="100" w:before="300"/>
      </w:pPr>
      <w:r>
        <w:rPr>
          <w:rFonts w:ascii="Calibri" w:cs="Calibri" w:eastAsia="Calibri" w:hAnsi="Calibri"/>
          <w:b/>
          <w:bCs/>
          <w:color w:val="2E74B5"/>
          <w:sz w:val="24"/>
          <w:szCs w:val="24"/>
        </w:rPr>
        <w:t xml:space="preserve">Project structure</w:t>
      </w:r>
    </w:p>
    <w:p>
      <w:pPr>
        <w:spacing w:after="140" w:before="0"/>
      </w:pPr>
      <w:r>
        <w:rPr>
          <w:rFonts w:ascii="Calibri" w:cs="Calibri" w:eastAsia="Calibri" w:hAnsi="Calibri"/>
          <w:color w:val="1A1A1A"/>
          <w:sz w:val="20"/>
          <w:szCs w:val="20"/>
        </w:rPr>
        <w:t xml:space="preserve">Keep the root directory clean with one entry point file and a small number of subdirectories. The entry point, typically named app.py, is what Streamlit runs. It should be short and focused on layout: defining the sidebar controls, the tabs, and wiring each tab to the appropriate chart function. All actual logic should live in imported modules.</w:t>
      </w:r>
    </w:p>
    <w:p>
      <w:pPr>
        <w:spacing w:after="140" w:before="0"/>
      </w:pPr>
      <w:r>
        <w:rPr>
          <w:rFonts w:ascii="Calibri" w:cs="Calibri" w:eastAsia="Calibri" w:hAnsi="Calibri"/>
          <w:color w:val="1A1A1A"/>
          <w:sz w:val="20"/>
          <w:szCs w:val="20"/>
        </w:rPr>
        <w:t xml:space="preserve">A data directory holds everything related to fetching and preparing data from yfinance. A charts directory holds one file per panel, each exporting a single function that takes a prepared DataFrame and returns a Plotly figure. A config file at the root holds the ticker dictionary, company color assignments, and any constants like the default date range or the number of forecast years. This structure means that if Yahoo Finance changes a ticker symbol, you change it in one place. If you want to add a sixth company, you add one line to the config and the rest of the app adapts automatically.</w:t>
      </w:r>
    </w:p>
    <w:p>
      <w:pPr>
        <w:spacing w:after="80" w:before="0"/>
      </w:pPr>
    </w:p>
    <w:p>
      <w:pPr>
        <w:pStyle w:val="Heading2"/>
        <w:spacing w:after="100" w:before="300"/>
      </w:pPr>
      <w:r>
        <w:rPr>
          <w:rFonts w:ascii="Calibri" w:cs="Calibri" w:eastAsia="Calibri" w:hAnsi="Calibri"/>
          <w:b/>
          <w:bCs/>
          <w:color w:val="2E74B5"/>
          <w:sz w:val="24"/>
          <w:szCs w:val="24"/>
        </w:rPr>
        <w:t xml:space="preserve">Caching</w:t>
      </w:r>
    </w:p>
    <w:p>
      <w:pPr>
        <w:spacing w:after="140" w:before="0"/>
      </w:pPr>
      <w:r>
        <w:rPr>
          <w:rFonts w:ascii="Calibri" w:cs="Calibri" w:eastAsia="Calibri" w:hAnsi="Calibri"/>
          <w:color w:val="1A1A1A"/>
          <w:sz w:val="20"/>
          <w:szCs w:val="20"/>
        </w:rPr>
        <w:t xml:space="preserve">The most important technical detail for user experience is caching. yfinance calls take a few seconds each, and if the app re-fetches data every time the user moves a control, the dashboard will feel sluggish and unpleasant. Streamlit provides a caching decorator that stores the result of a function call for a configurable duration. Apply it to every yfinance function with a time-to-live of one hour. This means data is fetched once when the app starts, served from memory for all subsequent interactions within that hour, and then refreshed on the next load after the cache expires.</w:t>
      </w:r>
    </w:p>
    <w:p>
      <w:pPr>
        <w:spacing w:after="140" w:before="0"/>
      </w:pPr>
      <w:r>
        <w:rPr>
          <w:rFonts w:ascii="Calibri" w:cs="Calibri" w:eastAsia="Calibri" w:hAnsi="Calibri"/>
          <w:color w:val="1A1A1A"/>
          <w:sz w:val="20"/>
          <w:szCs w:val="20"/>
        </w:rPr>
        <w:t xml:space="preserve">This single change makes the difference between an app that feels instant and one that feels broken. It is also a sign of professional thinking that a recruiter who looks at your code will notice.</w:t>
      </w:r>
    </w:p>
    <w:p>
      <w:pPr>
        <w:spacing w:after="80" w:before="0"/>
      </w:pPr>
    </w:p>
    <w:p>
      <w:pPr>
        <w:pStyle w:val="Heading2"/>
        <w:spacing w:after="100" w:before="300"/>
      </w:pPr>
      <w:r>
        <w:rPr>
          <w:rFonts w:ascii="Calibri" w:cs="Calibri" w:eastAsia="Calibri" w:hAnsi="Calibri"/>
          <w:b/>
          <w:bCs/>
          <w:color w:val="2E74B5"/>
          <w:sz w:val="24"/>
          <w:szCs w:val="24"/>
        </w:rPr>
        <w:t xml:space="preserve">Library choices and what each one does</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Library</w:t>
            </w:r>
          </w:p>
        </w:tc>
        <w:tc>
          <w:tcPr>
            <w:tcW w:type="dxa" w:w="64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Role in this project</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yfinance</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Fetches all financial data from Yahoo Finance. The only data source in the project. No API key required.</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pandas</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The core data manipulation library. Used for cleaning, reshaping, and aligning the financial statement DataFrames before they reach the chart functions.</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NumPy</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Used in the forecast panel for numerical operations including the residual standard deviation and confidence band calculation.</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Plotly</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Produces all the interactive charts. Streamlit integrates with it natively and renders Plotly figures with full hover, zoom, and pan functionality without any additional configuration.</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scikit-learn</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Provides the LinearRegression class used in the forecast panel. A lightweight dependency for a focused purpose.</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Streamlit</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Turns the Python script into a web application. Handles the sidebar, tabs, controls, and rendering. Deployment to Streamlit Community Cloud is built into the framework.</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5. Sidebar Controls</w:t>
      </w:r>
    </w:p>
    <w:p>
      <w:pPr>
        <w:spacing w:after="140" w:before="0"/>
      </w:pPr>
      <w:r>
        <w:rPr>
          <w:rFonts w:ascii="Calibri" w:cs="Calibri" w:eastAsia="Calibri" w:hAnsi="Calibri"/>
          <w:color w:val="1A1A1A"/>
          <w:sz w:val="20"/>
          <w:szCs w:val="20"/>
        </w:rPr>
        <w:t xml:space="preserve">Streamlit's sidebar is a natural home for global controls that affect multiple panels. Keep it minimal. Two controls are sufficient: a date picker for the stock performance start date, and a company selector for the panels that show individual company data. Everything else should be determined by the code rather than requiring the user to configure it.</w:t>
      </w:r>
    </w:p>
    <w:p>
      <w:pPr>
        <w:spacing w:after="140" w:before="0"/>
      </w:pPr>
      <w:r>
        <w:rPr>
          <w:rFonts w:ascii="Calibri" w:cs="Calibri" w:eastAsia="Calibri" w:hAnsi="Calibri"/>
          <w:color w:val="1A1A1A"/>
          <w:sz w:val="20"/>
          <w:szCs w:val="20"/>
        </w:rPr>
        <w:t xml:space="preserve">The date picker should default to January 1, 2020. This is a meaningful default because it captures the COVID crash and recovery, the 2021 chip shortage impact on automotive production, the 2022 energy crisis, and the subsequent period of normalization. That range tells a rich story about how the five companies handled a genuinely unusual sequence of macro events, which makes the stock performance chart immediately interesting rather than showing a flat period.</w:t>
      </w:r>
    </w:p>
    <w:p>
      <w:pPr>
        <w:spacing w:after="140" w:before="0"/>
      </w:pPr>
      <w:r>
        <w:rPr>
          <w:rFonts w:ascii="Calibri" w:cs="Calibri" w:eastAsia="Calibri" w:hAnsi="Calibri"/>
          <w:color w:val="1A1A1A"/>
          <w:sz w:val="20"/>
          <w:szCs w:val="20"/>
        </w:rPr>
        <w:t xml:space="preserve">The company selector should default to Mercedes-Benz, since it is typically the most recognized name internationally and has the most complete data coverage. Make it clear in the label that this selector controls the Fundamentals and Forecast tabs, not the stock performance or valuation tabs, which always show all five companies.</w:t>
      </w:r>
    </w:p>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6. Deployment</w:t>
      </w:r>
    </w:p>
    <w:p>
      <w:pPr>
        <w:spacing w:after="140" w:before="0"/>
      </w:pPr>
      <w:r>
        <w:rPr>
          <w:rFonts w:ascii="Calibri" w:cs="Calibri" w:eastAsia="Calibri" w:hAnsi="Calibri"/>
          <w:color w:val="1A1A1A"/>
          <w:sz w:val="20"/>
          <w:szCs w:val="20"/>
        </w:rPr>
        <w:t xml:space="preserve">Deployment to Streamlit Community Cloud is free, requires no server configuration, and takes about five minutes once the code is on GitHub. The process is: create a public repository, push the code, connect the repository to Streamlit Community Cloud through their web interface, point it at app.py as the entry point, and deploy. Streamlit reads a requirements.txt file from the repository root and installs all dependencies automatically.</w:t>
      </w:r>
    </w:p>
    <w:p>
      <w:pPr>
        <w:spacing w:after="140" w:before="0"/>
      </w:pPr>
      <w:r>
        <w:rPr>
          <w:rFonts w:ascii="Calibri" w:cs="Calibri" w:eastAsia="Calibri" w:hAnsi="Calibri"/>
          <w:color w:val="1A1A1A"/>
          <w:sz w:val="20"/>
          <w:szCs w:val="20"/>
        </w:rPr>
        <w:t xml:space="preserve">The result is a URL in the format your-username-repo-name-app-something.streamlit.app. This URL is permanent and publicly accessible without any login. Put it in the GitHub repository README as the first line, before any explanation of the project. Put it on your CV next to the project name. Put it in your LinkedIn profile if you list projects there.</w:t>
      </w:r>
    </w:p>
    <w:p>
      <w:pPr>
        <w:spacing w:after="140" w:before="0"/>
      </w:pPr>
      <w:r>
        <w:rPr>
          <w:rFonts w:ascii="Calibri" w:cs="Calibri" w:eastAsia="Calibri" w:hAnsi="Calibri"/>
          <w:color w:val="1A1A1A"/>
          <w:sz w:val="20"/>
          <w:szCs w:val="20"/>
        </w:rPr>
        <w:t xml:space="preserve">Free tier apps sleep after a period of inactivity, typically a few days, and wake up when someone visits the URL. The wake-up takes about thirty seconds. This is a minor inconvenience for a portfolio project and not something that needs to be solved; you can simply mention it to a recruiter if they try the link and see a loading screen.</w:t>
      </w:r>
    </w:p>
    <w:p>
      <w:pPr>
        <w:spacing w:after="140" w:before="0"/>
      </w:pPr>
      <w:r>
        <w:rPr>
          <w:rFonts w:ascii="Calibri" w:cs="Calibri" w:eastAsia="Calibri" w:hAnsi="Calibri"/>
          <w:color w:val="1A1A1A"/>
          <w:sz w:val="20"/>
          <w:szCs w:val="20"/>
        </w:rPr>
        <w:t xml:space="preserve">One critical deployment requirement: make sure your requirements.txt file is complete and up to date before pushing. Run pip freeze from inside your virtual environment after all libraries are installed and paste the output into requirements.txt. If this file is missing or incomplete, the deployment will fail with a module not found error that can be confusing to debug remotely.</w:t>
      </w:r>
    </w:p>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7. GitHub Presentation</w:t>
      </w:r>
    </w:p>
    <w:p>
      <w:pPr>
        <w:spacing w:after="140" w:before="0"/>
      </w:pPr>
      <w:r>
        <w:rPr>
          <w:rFonts w:ascii="Calibri" w:cs="Calibri" w:eastAsia="Calibri" w:hAnsi="Calibri"/>
          <w:color w:val="1A1A1A"/>
          <w:sz w:val="20"/>
          <w:szCs w:val="20"/>
        </w:rPr>
        <w:t xml:space="preserve">The GitHub repository is the second thing a recruiter will look at after the live dashboard. It should be immediately legible and professionally presented.</w:t>
      </w:r>
    </w:p>
    <w:p>
      <w:pPr>
        <w:spacing w:after="80" w:before="0"/>
      </w:pPr>
    </w:p>
    <w:p>
      <w:pPr>
        <w:pStyle w:val="Heading2"/>
        <w:spacing w:after="100" w:before="300"/>
      </w:pPr>
      <w:r>
        <w:rPr>
          <w:rFonts w:ascii="Calibri" w:cs="Calibri" w:eastAsia="Calibri" w:hAnsi="Calibri"/>
          <w:b/>
          <w:bCs/>
          <w:color w:val="2E74B5"/>
          <w:sz w:val="24"/>
          <w:szCs w:val="24"/>
        </w:rPr>
        <w:t xml:space="preserve">README structure</w:t>
      </w:r>
    </w:p>
    <w:p>
      <w:pPr>
        <w:spacing w:after="140" w:before="0"/>
      </w:pPr>
      <w:r>
        <w:rPr>
          <w:rFonts w:ascii="Calibri" w:cs="Calibri" w:eastAsia="Calibri" w:hAnsi="Calibri"/>
          <w:color w:val="1A1A1A"/>
          <w:sz w:val="20"/>
          <w:szCs w:val="20"/>
        </w:rPr>
        <w:t xml:space="preserve">The README should open with the project name, a one-sentence description, and the live dashboard link. That link should appear in the first ten lines of the file and should be formatted as a clickable button or at minimum a prominent hyperlink. Below that, include a brief explanation of what the dashboard shows, the technical stack in one line, and a single code block with the two commands needed to run it locally: the pip install and the streamlit run command.</w:t>
      </w:r>
    </w:p>
    <w:p>
      <w:pPr>
        <w:spacing w:after="140" w:before="0"/>
      </w:pPr>
      <w:r>
        <w:rPr>
          <w:rFonts w:ascii="Calibri" w:cs="Calibri" w:eastAsia="Calibri" w:hAnsi="Calibri"/>
          <w:color w:val="1A1A1A"/>
          <w:sz w:val="20"/>
          <w:szCs w:val="20"/>
        </w:rPr>
        <w:t xml:space="preserve">Do not write a long README. Two pages is too much. A recruiter who opens a student project's README and sees five scrollable sections of documentation is unlikely to read any of it carefully. A recruiter who sees a live link, a clear one-paragraph summary, and clean code is likely to click the link.</w:t>
      </w:r>
    </w:p>
    <w:p>
      <w:pPr>
        <w:spacing w:after="80" w:before="0"/>
      </w:pPr>
    </w:p>
    <w:p>
      <w:pPr>
        <w:pStyle w:val="Heading2"/>
        <w:spacing w:after="100" w:before="300"/>
      </w:pPr>
      <w:r>
        <w:rPr>
          <w:rFonts w:ascii="Calibri" w:cs="Calibri" w:eastAsia="Calibri" w:hAnsi="Calibri"/>
          <w:b/>
          <w:bCs/>
          <w:color w:val="2E74B5"/>
          <w:sz w:val="24"/>
          <w:szCs w:val="24"/>
        </w:rPr>
        <w:t xml:space="preserve">Code quality signals</w:t>
      </w:r>
    </w:p>
    <w:p>
      <w:pPr>
        <w:spacing w:after="140" w:before="0"/>
      </w:pPr>
      <w:r>
        <w:rPr>
          <w:rFonts w:ascii="Calibri" w:cs="Calibri" w:eastAsia="Calibri" w:hAnsi="Calibri"/>
          <w:color w:val="1A1A1A"/>
          <w:sz w:val="20"/>
          <w:szCs w:val="20"/>
        </w:rPr>
        <w:t xml:space="preserve">Beyond structure, there are a few code quality signals that a technically literate reviewer will look for. Functions should be short and do one thing. Variable names should be self-explanatory rather than abbreviated. There should be no dead code, commented-out experiments, or hardcoded values scattered through the files. The config file should make it obvious where to make changes if the project needs to be extended.</w:t>
      </w:r>
    </w:p>
    <w:p>
      <w:pPr>
        <w:spacing w:after="140" w:before="0"/>
      </w:pPr>
      <w:r>
        <w:rPr>
          <w:rFonts w:ascii="Calibri" w:cs="Calibri" w:eastAsia="Calibri" w:hAnsi="Calibri"/>
          <w:color w:val="1A1A1A"/>
          <w:sz w:val="20"/>
          <w:szCs w:val="20"/>
        </w:rPr>
        <w:t xml:space="preserve">A brief docstring on each function describing what it takes as input and what it returns is worth the three minutes it takes to write. It communicates that you think about interfaces, not just implementations, which is a meaningful signal for data engineering and quant roles especially.</w:t>
      </w:r>
    </w:p>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8. How to Talk About This Project</w:t>
      </w:r>
    </w:p>
    <w:p>
      <w:pPr>
        <w:spacing w:after="140" w:before="0"/>
      </w:pPr>
      <w:r>
        <w:rPr>
          <w:rFonts w:ascii="Calibri" w:cs="Calibri" w:eastAsia="Calibri" w:hAnsi="Calibri"/>
          <w:color w:val="1A1A1A"/>
          <w:sz w:val="20"/>
          <w:szCs w:val="20"/>
        </w:rPr>
        <w:t xml:space="preserve">A portfolio project is only as valuable as your ability to discuss it clearly and confidently. Expect three categories of questions and prepare a short, practiced answer for each one.</w:t>
      </w:r>
    </w:p>
    <w:p>
      <w:pPr>
        <w:spacing w:after="80" w:before="0"/>
      </w:pPr>
    </w:p>
    <w:p>
      <w:pPr>
        <w:pStyle w:val="Heading2"/>
        <w:spacing w:after="100" w:before="300"/>
      </w:pPr>
      <w:r>
        <w:rPr>
          <w:rFonts w:ascii="Calibri" w:cs="Calibri" w:eastAsia="Calibri" w:hAnsi="Calibri"/>
          <w:b/>
          <w:bCs/>
          <w:color w:val="2E74B5"/>
          <w:sz w:val="24"/>
          <w:szCs w:val="24"/>
        </w:rPr>
        <w:t xml:space="preserve">What did you build?</w:t>
      </w:r>
    </w:p>
    <w:p>
      <w:pPr>
        <w:spacing w:after="140" w:before="0"/>
      </w:pPr>
      <w:r>
        <w:rPr>
          <w:rFonts w:ascii="Calibri" w:cs="Calibri" w:eastAsia="Calibri" w:hAnsi="Calibri"/>
          <w:color w:val="1A1A1A"/>
          <w:sz w:val="20"/>
          <w:szCs w:val="20"/>
        </w:rPr>
        <w:t xml:space="preserve">A live financial comparison dashboard for the five largest European automakers, built in Python and deployed on Streamlit. It pulls real data from Yahoo Finance and shows stock performance normalized for comparability, current valuation multiples side by side, historical revenue and margin trends, and a simple revenue forecast with a confidence band. The whole thing costs nothing to run and is publicly accessible at this URL.</w:t>
      </w:r>
    </w:p>
    <w:p>
      <w:pPr>
        <w:spacing w:after="80" w:before="0"/>
      </w:pPr>
    </w:p>
    <w:p>
      <w:pPr>
        <w:pStyle w:val="Heading2"/>
        <w:spacing w:after="100" w:before="300"/>
      </w:pPr>
      <w:r>
        <w:rPr>
          <w:rFonts w:ascii="Calibri" w:cs="Calibri" w:eastAsia="Calibri" w:hAnsi="Calibri"/>
          <w:b/>
          <w:bCs/>
          <w:color w:val="2E74B5"/>
          <w:sz w:val="24"/>
          <w:szCs w:val="24"/>
        </w:rPr>
        <w:t xml:space="preserve">Why these companies? Why this sector?</w:t>
      </w:r>
    </w:p>
    <w:p>
      <w:pPr>
        <w:spacing w:after="140" w:before="0"/>
      </w:pPr>
      <w:r>
        <w:rPr>
          <w:rFonts w:ascii="Calibri" w:cs="Calibri" w:eastAsia="Calibri" w:hAnsi="Calibri"/>
          <w:color w:val="1A1A1A"/>
          <w:sz w:val="20"/>
          <w:szCs w:val="20"/>
        </w:rPr>
        <w:t xml:space="preserve">The European automotive sector is a good choice for a financial dashboard because it is undergoing a structural transformation that makes the financial data genuinely interesting. The five companies are at different stages of their electric vehicle transition, with different levels of legacy ICE exposure, different debt profiles, and different margin trajectories. That variation makes the peer comparison meaningful rather than showing five nearly identical charts. It also means you have something substantive to say about what the data shows, rather than just describing how you built the charts.</w:t>
      </w:r>
    </w:p>
    <w:p>
      <w:pPr>
        <w:spacing w:after="80" w:before="0"/>
      </w:pPr>
    </w:p>
    <w:p>
      <w:pPr>
        <w:pStyle w:val="Heading2"/>
        <w:spacing w:after="100" w:before="300"/>
      </w:pPr>
      <w:r>
        <w:rPr>
          <w:rFonts w:ascii="Calibri" w:cs="Calibri" w:eastAsia="Calibri" w:hAnsi="Calibri"/>
          <w:b/>
          <w:bCs/>
          <w:color w:val="2E74B5"/>
          <w:sz w:val="24"/>
          <w:szCs w:val="24"/>
        </w:rPr>
        <w:t xml:space="preserve">What are the limitations of the forecast model?</w:t>
      </w:r>
    </w:p>
    <w:p>
      <w:pPr>
        <w:spacing w:after="140" w:before="0"/>
      </w:pPr>
      <w:r>
        <w:rPr>
          <w:rFonts w:ascii="Calibri" w:cs="Calibri" w:eastAsia="Calibri" w:hAnsi="Calibri"/>
          <w:color w:val="1A1A1A"/>
          <w:sz w:val="20"/>
          <w:szCs w:val="20"/>
        </w:rPr>
        <w:t xml:space="preserve">The forecast is a linear regression on four to five years of annual revenue. It identifies the average annual trend and extends it forward, with a confidence band based on how closely the historical data followed that trend. The limitations are significant and worth stating clearly. It assumes revenue will continue growing or declining at the same average rate as the historical period, which ignores cyclicality. The automotive industry is notoriously cyclical, with revenue tied to consumer sentiment, credit availability, and commodity prices in ways that a linear trend cannot capture. It also ignores management guidance, analyst consensus estimates, and company-specific factors like new model launches, factory capacity additions, or market share shifts. In a professional context, this model would be a starting point for a conversation, not a conclusion. You would layer scenario analysis and sensitivity tables on top of it.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single" w:color="2E74B5" w:sz="18"/>
              <w:bottom w:val="none"/>
              <w:right w:val="none"/>
            </w:tcBorders>
            <w:shd w:fill="EBF3FB" w:val="clear"/>
            <w:tcMar>
              <w:top w:type="dxa" w:w="100"/>
              <w:left w:type="dxa" w:w="200"/>
              <w:bottom w:type="dxa" w:w="100"/>
              <w:right w:type="dxa" w:w="140"/>
            </w:tcMar>
          </w:tcPr>
          <w:p>
            <w:r>
              <w:rPr>
                <w:rFonts w:ascii="Calibri" w:cs="Calibri" w:eastAsia="Calibri" w:hAnsi="Calibri"/>
                <w:i/>
                <w:iCs/>
                <w:color w:val="1A1A1A"/>
                <w:sz w:val="20"/>
                <w:szCs w:val="20"/>
              </w:rPr>
              <w:t xml:space="preserve">That last answer is the one that matters most in an interview. Candidates who can build a model and then articulate its limitations clearly are rare at student level. Most either cannot build it or cannot critique it. Being able to do both is what makes this project genuinely impressive.</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9. Optional Extensions</w:t>
      </w:r>
    </w:p>
    <w:p>
      <w:pPr>
        <w:spacing w:after="140" w:before="0"/>
      </w:pPr>
      <w:r>
        <w:rPr>
          <w:rFonts w:ascii="Calibri" w:cs="Calibri" w:eastAsia="Calibri" w:hAnsi="Calibri"/>
          <w:color w:val="1A1A1A"/>
          <w:sz w:val="20"/>
          <w:szCs w:val="20"/>
        </w:rPr>
        <w:t xml:space="preserve">Once the core dashboard is working and deployed, these additions strengthen the project further without requiring any paid data sources.</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Extension</w:t>
            </w:r>
          </w:p>
        </w:tc>
        <w:tc>
          <w:tcPr>
            <w:tcW w:type="dxa" w:w="64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What it adds</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Liquidity ratios</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Add a table showing current ratio, quick ratio, and interest coverage ratio for all five companies. These are standard metrics in credit analysis and add a solvency lens to complement the profitability and valuation panels. All the necessary inputs are available from yfinance balance sheet and income statement data.</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Debt composition chart</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A stacked bar chart showing the split between short-term and long-term debt for each company over time. Automotive companies carry significant debt, and the maturity profile matters for assessing refinancing risk. This is a small addition that demonstrates balance sheet literacy.</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Return on equity trend</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ROE over time for each company, shown as a line chart with all five companies on the same axes. This connects profitability to the equity base and allows a more nuanced comparison than revenue or net income alone.</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Correlation heatmap</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A heatmap showing the pairwise correlation of weekly stock returns across the five companies. This demonstrates portfolio analysis thinking and introduces a second use of the price history data beyond the normalized performance chart.</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Earnings date flag</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Pull upcoming earnings announcement dates from yfinance and display them as a small table or annotation on the stock performance chart. This connects the historical data to forward-looking events and shows awareness of the event-driven nature of stock price movements.</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10. Suggested Build Order</w:t>
      </w:r>
    </w:p>
    <w:p>
      <w:pPr>
        <w:spacing w:after="140" w:before="0"/>
      </w:pPr>
      <w:r>
        <w:rPr>
          <w:rFonts w:ascii="Calibri" w:cs="Calibri" w:eastAsia="Calibri" w:hAnsi="Calibri"/>
          <w:color w:val="1A1A1A"/>
          <w:sz w:val="20"/>
          <w:szCs w:val="20"/>
        </w:rPr>
        <w:t xml:space="preserve">Build in a sequence that gives you something visible and testable at the end of each session. Avoid building all the data fetching logic before seeing any output; the feedback loop is too slow and it is easy to lose track of what is working.</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Phase</w:t>
            </w:r>
          </w:p>
        </w:tc>
        <w:tc>
          <w:tcPr>
            <w:tcW w:type="dxa" w:w="6400"/>
            <w:shd w:fill="1F3864" w:val="clear"/>
            <w:tcMar>
              <w:top w:type="dxa" w:w="80"/>
              <w:left w:type="dxa" w:w="140"/>
              <w:bottom w:type="dxa" w:w="80"/>
              <w:right w:type="dxa" w:w="140"/>
            </w:tcMar>
          </w:tcPr>
          <w:p>
            <w:r>
              <w:rPr>
                <w:rFonts w:ascii="Calibri" w:cs="Calibri" w:eastAsia="Calibri" w:hAnsi="Calibri"/>
                <w:b/>
                <w:bCs/>
                <w:color w:val="FFFFFF"/>
                <w:sz w:val="19"/>
                <w:szCs w:val="19"/>
              </w:rPr>
              <w:t xml:space="preserve">Goal</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First session</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Set up the Python environment, install all libraries, create the project folder structure and the config file. Write a simple test script that fetches price history for one company and prints five rows. Confirm the data looks correct before building anything else.</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Second session</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Build the data fetcher module with all four functions: price history, income statements, valuation snapshot, and a basic test of the balance sheet fetch. Confirm each one returns clean data. Build the normalized price chart and wire it into a minimal app.py with just one tab. Get Streamlit running locally.</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Third session</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Build the valuation multiples panel. Push the code to GitHub and deploy to Streamlit Community Cloud. Even with only two panels working, having a live URL is valuable and motivating.</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Fourth session</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Build the fundamentals panel with the revenue and net income chart and the margin chart below it. Test across all five companies to make sure the data aligns correctly for each one.</w:t>
            </w:r>
          </w:p>
        </w:tc>
      </w:tr>
      <w:tr>
        <w:tc>
          <w:tcPr>
            <w:tcW w:type="dxa" w:w="2800"/>
            <w:shd w:fill="EBF3FB" w:val="clear"/>
            <w:tcMar>
              <w:top w:type="dxa" w:w="80"/>
              <w:left w:type="dxa" w:w="140"/>
              <w:bottom w:type="dxa" w:w="80"/>
              <w:right w:type="dxa" w:w="140"/>
            </w:tcMar>
          </w:tcPr>
          <w:p>
            <w:r>
              <w:rPr>
                <w:rFonts w:ascii="Calibri" w:cs="Calibri" w:eastAsia="Calibri" w:hAnsi="Calibri"/>
                <w:b/>
                <w:bCs/>
                <w:color w:val="1F3864"/>
                <w:sz w:val="19"/>
                <w:szCs w:val="19"/>
              </w:rPr>
              <w:t xml:space="preserve">Fifth session</w:t>
            </w:r>
          </w:p>
        </w:tc>
        <w:tc>
          <w:tcPr>
            <w:tcW w:type="dxa" w:w="6400"/>
            <w:shd w:fill="EBF3FB" w:val="clear"/>
            <w:tcMar>
              <w:top w:type="dxa" w:w="80"/>
              <w:left w:type="dxa" w:w="140"/>
              <w:bottom w:type="dxa" w:w="80"/>
              <w:right w:type="dxa" w:w="140"/>
            </w:tcMar>
          </w:tcPr>
          <w:p>
            <w:r>
              <w:rPr>
                <w:rFonts w:ascii="Calibri" w:cs="Calibri" w:eastAsia="Calibri" w:hAnsi="Calibri"/>
                <w:color w:val="1A1A1A"/>
                <w:sz w:val="19"/>
                <w:szCs w:val="19"/>
              </w:rPr>
              <w:t xml:space="preserve">Build the forecast panel. Write the README. Make sure all four tabs are working on the deployed URL. Share the link.</w:t>
            </w:r>
          </w:p>
        </w:tc>
      </w:tr>
      <w:tr>
        <w:tc>
          <w:tcPr>
            <w:tcW w:type="dxa" w:w="2800"/>
            <w:shd w:fill="FFFFFF" w:val="clear"/>
            <w:tcMar>
              <w:top w:type="dxa" w:w="80"/>
              <w:left w:type="dxa" w:w="140"/>
              <w:bottom w:type="dxa" w:w="80"/>
              <w:right w:type="dxa" w:w="140"/>
            </w:tcMar>
          </w:tcPr>
          <w:p>
            <w:r>
              <w:rPr>
                <w:rFonts w:ascii="Calibri" w:cs="Calibri" w:eastAsia="Calibri" w:hAnsi="Calibri"/>
                <w:b/>
                <w:bCs/>
                <w:color w:val="1F3864"/>
                <w:sz w:val="19"/>
                <w:szCs w:val="19"/>
              </w:rPr>
              <w:t xml:space="preserve">Optional sixth session</w:t>
            </w:r>
          </w:p>
        </w:tc>
        <w:tc>
          <w:tcPr>
            <w:tcW w:type="dxa" w:w="6400"/>
            <w:shd w:fill="FFFFFF" w:val="clear"/>
            <w:tcMar>
              <w:top w:type="dxa" w:w="80"/>
              <w:left w:type="dxa" w:w="140"/>
              <w:bottom w:type="dxa" w:w="80"/>
              <w:right w:type="dxa" w:w="140"/>
            </w:tcMar>
          </w:tcPr>
          <w:p>
            <w:r>
              <w:rPr>
                <w:rFonts w:ascii="Calibri" w:cs="Calibri" w:eastAsia="Calibri" w:hAnsi="Calibri"/>
                <w:color w:val="1A1A1A"/>
                <w:sz w:val="19"/>
                <w:szCs w:val="19"/>
              </w:rPr>
              <w:t xml:space="preserve">Add whichever extensions feel most relevant to the roles you are applying for. For credit or fixed income roles, prioritize the liquidity ratios and debt composition charts. For equity or portfolio roles, prioritize the ROE trend and correlation heatmap.</w:t>
            </w:r>
          </w:p>
        </w:tc>
      </w:tr>
    </w:tbl>
    <w:p>
      <w:pPr>
        <w:spacing w:after="320" w:before="0"/>
      </w:pPr>
    </w:p>
    <w:p>
      <w:pPr>
        <w:pStyle w:val="Heading1"/>
        <w:pBdr>
          <w:bottom w:val="single" w:color="2E74B5" w:sz="6" w:space="4"/>
        </w:pBdr>
        <w:spacing w:after="160" w:before="440"/>
      </w:pPr>
      <w:r>
        <w:rPr>
          <w:rFonts w:ascii="Calibri" w:cs="Calibri" w:eastAsia="Calibri" w:hAnsi="Calibri"/>
          <w:b/>
          <w:bCs/>
          <w:color w:val="1F3864"/>
          <w:sz w:val="30"/>
          <w:szCs w:val="30"/>
        </w:rPr>
        <w:t xml:space="preserve">Final Note</w:t>
      </w:r>
    </w:p>
    <w:p>
      <w:pPr>
        <w:spacing w:after="140" w:before="0"/>
      </w:pPr>
      <w:r>
        <w:rPr>
          <w:rFonts w:ascii="Calibri" w:cs="Calibri" w:eastAsia="Calibri" w:hAnsi="Calibri"/>
          <w:color w:val="1A1A1A"/>
          <w:sz w:val="20"/>
          <w:szCs w:val="20"/>
        </w:rPr>
        <w:t xml:space="preserve">The live URL is the asset. Everything else in this document is in service of producing a working, deployed application that a recruiter can open in thirty seconds and immediately understand. Build toward that URL from the first session, deploy early even when the app is incomplete, and iterate from there.</w:t>
      </w:r>
    </w:p>
    <w:p>
      <w:pPr>
        <w:spacing w:after="140" w:before="0"/>
      </w:pPr>
      <w:r>
        <w:rPr>
          <w:rFonts w:ascii="Calibri" w:cs="Calibri" w:eastAsia="Calibri" w:hAnsi="Calibri"/>
          <w:color w:val="1A1A1A"/>
          <w:sz w:val="20"/>
          <w:szCs w:val="20"/>
        </w:rPr>
        <w:t xml:space="preserve">The project works because it combines three things that are individually common but rarely appear together at student level: real financial data with genuine analytical framing, clean and organized code that a technical reviewer can read without cringing, and a live public deployment that removes every barrier between the recruiter and the product. That combination is what makes it worth building.</w:t>
      </w:r>
    </w:p>
    <w:p>
      <w:pPr>
        <w:spacing w:after="160" w:before="0"/>
      </w:pPr>
    </w:p>
    <w:sectPr>
      <w:footerReference w:type="default" r:id="rId7"/>
      <w:pgSz w:w="11906" w:h="16838" w:orient="portrait"/>
      <w:pgMar w:top="1584" w:right="1727" w:bottom="1584"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BFBFBF"/>
        <w:sz w:val="16"/>
        <w:szCs w:val="16"/>
      </w:rPr>
      <w:t xml:space="preserve">European Automaker Dashboard  |  Page </w:t>
    </w:r>
    <w:r>
      <w:rPr>
        <w:rFonts w:ascii="Calibri" w:cs="Calibri" w:eastAsia="Calibri" w:hAnsi="Calibri"/>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2026-08-25T19:39:08.777Z</dcterms:created>
  <dcterms:modified xsi:type="dcterms:W3CDTF">2026-08-25T19:39:08.777Z</dcterms:modified>
</cp:coreProperties>
</file>

<file path=docProps/custom.xml><?xml version="1.0" encoding="utf-8"?>
<Properties xmlns="http://schemas.openxmlformats.org/officeDocument/2006/custom-properties" xmlns:vt="http://schemas.openxmlformats.org/officeDocument/2006/docPropsVTypes"/>
</file>