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 </w:t>
      </w:r>
    </w:p>
    <w:p w14:paraId="6A930731" w14:textId="1FA7145F"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 </w:t>
      </w:r>
    </w:p>
    <w:p w14:paraId="2587C57C" w14:textId="2400A509"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 </w:t>
      </w:r>
    </w:p>
    <w:p w14:paraId="5C438C6A" w14:textId="3F8AB23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E728F9" w14:textId="7D34EB99"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7041DE0F" w14:textId="7B2D4D63"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72CE5CFB" w14:textId="4548D64D"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r w:rsidRPr="003B4C23">
        <w:rPr>
          <w:rFonts w:ascii="Segoe UI" w:hAnsi="Segoe UI" w:cs="Segoe UI"/>
          <w:b/>
          <w:bCs/>
          <w:lang w:val="en-US"/>
        </w:rPr>
        <w:t>INTRODUCTION</w:t>
      </w:r>
    </w:p>
    <w:p w14:paraId="02D1A691" w14:textId="37365723" w:rsidR="00C74CB6" w:rsidRPr="003B4C23" w:rsidRDefault="00461C21" w:rsidP="00992A42">
      <w:pPr>
        <w:jc w:val="both"/>
        <w:rPr>
          <w:rFonts w:ascii="Segoe UI" w:hAnsi="Segoe UI" w:cs="Segoe UI"/>
          <w:lang w:val="en-US"/>
        </w:rPr>
      </w:pPr>
      <w:r w:rsidRPr="003B4C23">
        <w:rPr>
          <w:rFonts w:ascii="Segoe UI" w:hAnsi="Segoe UI" w:cs="Segoe UI"/>
          <w:b/>
          <w:bCs/>
          <w:lang w:val="en-US"/>
        </w:rPr>
        <w:t>T</w:t>
      </w:r>
      <w:r w:rsidRPr="003B4C23">
        <w:rPr>
          <w:rFonts w:ascii="Segoe UI" w:hAnsi="Segoe UI" w:cs="Segoe UI"/>
          <w:lang w:val="en-US"/>
        </w:rPr>
        <w:t xml:space="preserve">he </w:t>
      </w:r>
    </w:p>
    <w:p w14:paraId="243C2AFC" w14:textId="32ED6344" w:rsidR="001E1A80" w:rsidRPr="003B4C23" w:rsidRDefault="001E1A80" w:rsidP="00992A42">
      <w:pPr>
        <w:jc w:val="both"/>
        <w:rPr>
          <w:rFonts w:ascii="Segoe UI" w:hAnsi="Segoe UI" w:cs="Segoe UI"/>
          <w:lang w:val="en-US"/>
        </w:rPr>
      </w:pPr>
      <w:r w:rsidRPr="003B4C23">
        <w:rPr>
          <w:rFonts w:ascii="Segoe UI" w:hAnsi="Segoe UI" w:cs="Segoe UI"/>
          <w:lang w:val="en-US"/>
        </w:rPr>
        <w:t>ILCs and ILC subtypes</w:t>
      </w:r>
    </w:p>
    <w:p w14:paraId="3F691D3D" w14:textId="77777777" w:rsidR="001E1A80" w:rsidRPr="003B4C23" w:rsidRDefault="001E1A80" w:rsidP="00992A42">
      <w:pPr>
        <w:jc w:val="both"/>
        <w:rPr>
          <w:rFonts w:ascii="Segoe UI" w:hAnsi="Segoe UI" w:cs="Segoe UI"/>
          <w:lang w:val="en-US"/>
        </w:rPr>
      </w:pPr>
    </w:p>
    <w:p w14:paraId="214C5110" w14:textId="264FE42E" w:rsidR="001E1A80" w:rsidRPr="003B4C23" w:rsidRDefault="001E1A80" w:rsidP="00992A42">
      <w:pPr>
        <w:jc w:val="both"/>
        <w:rPr>
          <w:rFonts w:ascii="Segoe UI" w:hAnsi="Segoe UI" w:cs="Segoe UI"/>
          <w:lang w:val="en-US"/>
        </w:rPr>
      </w:pPr>
      <w:r w:rsidRPr="003B4C23">
        <w:rPr>
          <w:rFonts w:ascii="Segoe UI" w:hAnsi="Segoe UI" w:cs="Segoe UI"/>
          <w:lang w:val="en-US"/>
        </w:rPr>
        <w:t>Lung gut axis</w:t>
      </w:r>
    </w:p>
    <w:p w14:paraId="706DD731" w14:textId="77777777" w:rsidR="001E1A80" w:rsidRDefault="001E1A80" w:rsidP="00992A42">
      <w:pPr>
        <w:jc w:val="both"/>
        <w:rPr>
          <w:rFonts w:ascii="Segoe UI" w:hAnsi="Segoe UI" w:cs="Segoe UI"/>
          <w:lang w:val="en-US"/>
        </w:rPr>
      </w:pPr>
    </w:p>
    <w:p w14:paraId="7598477C" w14:textId="77777777" w:rsidR="00B040D9" w:rsidRDefault="00B040D9" w:rsidP="00992A42">
      <w:pPr>
        <w:jc w:val="both"/>
        <w:rPr>
          <w:rFonts w:ascii="Segoe UI" w:hAnsi="Segoe UI" w:cs="Segoe UI"/>
          <w:lang w:val="en-US"/>
        </w:rPr>
      </w:pPr>
    </w:p>
    <w:p w14:paraId="32D637D8" w14:textId="362851C8" w:rsidR="00B040D9" w:rsidRDefault="00B040D9" w:rsidP="00992A42">
      <w:pPr>
        <w:jc w:val="both"/>
        <w:rPr>
          <w:rFonts w:ascii="Segoe UI" w:hAnsi="Segoe UI" w:cs="Segoe UI"/>
          <w:lang w:val="en-US"/>
        </w:rPr>
      </w:pPr>
      <w:commentRangeStart w:id="2"/>
      <w:r>
        <w:rPr>
          <w:rFonts w:ascii="Segoe UI" w:hAnsi="Segoe UI" w:cs="Segoe UI"/>
          <w:lang w:val="en-US"/>
        </w:rPr>
        <w:t>IL-33 is a profibrogenic cytokine associated with type 2 inflammation, lung fibrosis and ILC2s (</w:t>
      </w:r>
      <w:r w:rsidRPr="00B040D9">
        <w:rPr>
          <w:rFonts w:ascii="Segoe UI" w:hAnsi="Segoe UI" w:cs="Segoe UI"/>
          <w:highlight w:val="yellow"/>
          <w:lang w:val="en-US"/>
        </w:rPr>
        <w:t xml:space="preserve">Li et. al, </w:t>
      </w:r>
      <w:proofErr w:type="spellStart"/>
      <w:r w:rsidRPr="00B040D9">
        <w:rPr>
          <w:rFonts w:ascii="Segoe UI" w:hAnsi="Segoe UI" w:cs="Segoe UI"/>
          <w:highlight w:val="yellow"/>
        </w:rPr>
        <w:t>doi</w:t>
      </w:r>
      <w:proofErr w:type="spellEnd"/>
      <w:r w:rsidRPr="00B040D9">
        <w:rPr>
          <w:rFonts w:ascii="Segoe UI" w:hAnsi="Segoe UI" w:cs="Segoe UI"/>
          <w:highlight w:val="yellow"/>
        </w:rPr>
        <w:t>: 10.1016/j.jaci.2014.05.011</w:t>
      </w:r>
      <w:r>
        <w:rPr>
          <w:rFonts w:ascii="Segoe UI" w:hAnsi="Segoe UI" w:cs="Segoe UI"/>
          <w:lang w:val="en-US"/>
        </w:rPr>
        <w:t>)</w:t>
      </w:r>
      <w:commentRangeEnd w:id="2"/>
      <w:r>
        <w:rPr>
          <w:rStyle w:val="Kommentarzeichen"/>
        </w:rPr>
        <w:commentReference w:id="2"/>
      </w:r>
    </w:p>
    <w:p w14:paraId="6CA6F285" w14:textId="77777777" w:rsidR="00B040D9" w:rsidRPr="003B4C23" w:rsidRDefault="00B040D9" w:rsidP="00992A42">
      <w:pPr>
        <w:jc w:val="both"/>
        <w:rPr>
          <w:rFonts w:ascii="Segoe UI" w:hAnsi="Segoe UI" w:cs="Segoe UI"/>
          <w:lang w:val="en-US"/>
        </w:rPr>
      </w:pPr>
    </w:p>
    <w:p w14:paraId="4621DF77" w14:textId="5846A3CF" w:rsidR="001E1A80" w:rsidRPr="003B4C23" w:rsidRDefault="001E1A80" w:rsidP="00992A42">
      <w:pPr>
        <w:jc w:val="both"/>
        <w:rPr>
          <w:rFonts w:ascii="Segoe UI" w:hAnsi="Segoe UI" w:cs="Segoe UI"/>
          <w:lang w:val="en-US"/>
        </w:rPr>
      </w:pPr>
      <w:r w:rsidRPr="003B4C23">
        <w:rPr>
          <w:rFonts w:ascii="Segoe UI" w:hAnsi="Segoe UI" w:cs="Segoe UI"/>
          <w:lang w:val="en-US"/>
        </w:rPr>
        <w:t>Spatial analysis</w:t>
      </w:r>
    </w:p>
    <w:p w14:paraId="40756118" w14:textId="77777777" w:rsidR="00AF73B3" w:rsidRPr="003B4C23" w:rsidRDefault="00AF73B3" w:rsidP="00AF73B3">
      <w:pPr>
        <w:jc w:val="both"/>
        <w:rPr>
          <w:rFonts w:ascii="Segoe UI" w:hAnsi="Segoe UI" w:cs="Segoe UI"/>
          <w:lang w:val="en-US" w:eastAsia="de-DE"/>
        </w:rPr>
      </w:pPr>
      <w:r w:rsidRPr="003B4C23">
        <w:rPr>
          <w:rFonts w:ascii="Segoe UI" w:hAnsi="Segoe UI" w:cs="Segoe UI"/>
          <w:lang w:val="en-US" w:eastAsia="de-DE"/>
        </w:rPr>
        <w:t xml:space="preserve">Pascual-Reguant et al described human ILCs to localize in fibrovascular niches in inflamed tissues such as the tonsil (REF). </w:t>
      </w:r>
    </w:p>
    <w:p w14:paraId="721AB9F8" w14:textId="77777777" w:rsidR="00AF73B3" w:rsidRPr="003B4C23" w:rsidRDefault="00AF73B3" w:rsidP="00AF73B3">
      <w:pPr>
        <w:pStyle w:val="Listenabsatz"/>
        <w:numPr>
          <w:ilvl w:val="0"/>
          <w:numId w:val="3"/>
        </w:numPr>
        <w:jc w:val="both"/>
        <w:rPr>
          <w:rFonts w:ascii="Segoe UI" w:hAnsi="Segoe UI" w:cs="Segoe UI"/>
          <w:lang w:val="en-US" w:eastAsia="de-DE"/>
        </w:rPr>
      </w:pPr>
      <w:r w:rsidRPr="003B4C23">
        <w:rPr>
          <w:rFonts w:ascii="Segoe UI" w:hAnsi="Segoe UI" w:cs="Segoe UI"/>
          <w:lang w:val="en-US" w:eastAsia="de-DE"/>
        </w:rPr>
        <w:t>Adventitial cuffs (</w:t>
      </w:r>
      <w:proofErr w:type="spellStart"/>
      <w:r w:rsidRPr="003B4C23">
        <w:rPr>
          <w:rFonts w:ascii="Segoe UI" w:hAnsi="Segoe UI" w:cs="Segoe UI"/>
          <w:lang w:val="en-US" w:eastAsia="de-DE"/>
        </w:rPr>
        <w:t>Molofsky</w:t>
      </w:r>
      <w:proofErr w:type="spellEnd"/>
      <w:r w:rsidRPr="003B4C23">
        <w:rPr>
          <w:rFonts w:ascii="Segoe UI" w:hAnsi="Segoe UI" w:cs="Segoe UI"/>
          <w:lang w:val="en-US" w:eastAsia="de-DE"/>
        </w:rPr>
        <w:t>)</w:t>
      </w:r>
    </w:p>
    <w:p w14:paraId="4362C6AC" w14:textId="77777777" w:rsidR="001E1A80" w:rsidRPr="003B4C23" w:rsidRDefault="001E1A80" w:rsidP="00992A42">
      <w:pPr>
        <w:jc w:val="both"/>
        <w:rPr>
          <w:rFonts w:ascii="Segoe UI" w:hAnsi="Segoe UI" w:cs="Segoe UI"/>
          <w:lang w:val="en-US"/>
        </w:rPr>
      </w:pP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6251866B"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are able to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r w:rsidR="0026668D" w:rsidRPr="003B4C23">
        <w:rPr>
          <w:rFonts w:ascii="Segoe UI" w:hAnsi="Segoe UI" w:cs="Segoe UI"/>
          <w:lang w:val="en-US"/>
        </w:rPr>
        <w:t>For this, we decided to use the multiplex histology technique multi epitope ligand cartography (MELC).</w:t>
      </w:r>
    </w:p>
    <w:p w14:paraId="02965220" w14:textId="11B61B86"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As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30F1E" w:rsidRPr="003B4C23">
        <w:rPr>
          <w:rFonts w:ascii="Segoe UI" w:hAnsi="Segoe UI" w:cs="Segoe UI"/>
          <w:lang w:val="en-US" w:eastAsia="de-DE"/>
        </w:rPr>
        <w:t>, and with this, it is important to reliably include GATA3 in the panel</w:t>
      </w:r>
      <w:r w:rsidR="005E3875" w:rsidRPr="003B4C23">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3"/>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 xml:space="preserve">CCR6, and AREG. </w:t>
      </w:r>
      <w:commentRangeEnd w:id="3"/>
      <w:r w:rsidR="00DC45E1" w:rsidRPr="003B4C23">
        <w:rPr>
          <w:rStyle w:val="Kommentarzeichen"/>
          <w:lang w:val="en-US"/>
        </w:rPr>
        <w:commentReference w:id="3"/>
      </w:r>
      <w:r w:rsidR="00630F1E" w:rsidRPr="003B4C23">
        <w:rPr>
          <w:rFonts w:ascii="Segoe UI" w:hAnsi="Segoe UI" w:cs="Segoe UI"/>
          <w:lang w:val="en-US" w:eastAsia="de-DE"/>
        </w:rPr>
        <w:t xml:space="preserve">CD3, B220, Kappa/IRF4,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xml:space="preserve">, such as EMCN, CD31, LYVE1, and </w:t>
      </w:r>
      <w:proofErr w:type="spellStart"/>
      <w:r w:rsidR="003815D7" w:rsidRPr="003B4C23">
        <w:rPr>
          <w:rFonts w:ascii="Segoe UI" w:hAnsi="Segoe UI" w:cs="Segoe UI"/>
          <w:lang w:val="en-US" w:eastAsia="de-DE"/>
        </w:rPr>
        <w:t>EpCAM</w:t>
      </w:r>
      <w:proofErr w:type="spellEnd"/>
      <w:r w:rsidR="00CD4F4D" w:rsidRPr="003B4C23">
        <w:rPr>
          <w:rFonts w:ascii="Segoe UI" w:hAnsi="Segoe UI" w:cs="Segoe UI"/>
          <w:lang w:val="en-US" w:eastAsia="de-DE"/>
        </w:rPr>
        <w:t xml:space="preserve">. 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8FA87C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w:t>
      </w:r>
      <w:proofErr w:type="spellStart"/>
      <w:r w:rsidRPr="003B4C23">
        <w:rPr>
          <w:rFonts w:ascii="Segoe UI" w:hAnsi="Segoe UI" w:cs="Segoe UI"/>
          <w:lang w:val="en-US" w:eastAsia="de-DE"/>
        </w:rPr>
        <w:t>Sadeghalvad</w:t>
      </w:r>
      <w:proofErr w:type="spellEnd"/>
      <w:r w:rsidRPr="003B4C23">
        <w:rPr>
          <w:rFonts w:ascii="Segoe UI" w:hAnsi="Segoe UI" w:cs="Segoe UI"/>
          <w:lang w:val="en-US" w:eastAsia="de-DE"/>
        </w:rPr>
        <w:t xml:space="preserve"> et al. 2023) and as we were not only interested in the spatial distribution of ILCs under healthy conditions, but also if and how a potential ILC niche is influenced by an inflammatory stimuli,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w:t>
      </w:r>
      <w:r w:rsidR="00BC6B54" w:rsidRPr="003B4C23">
        <w:rPr>
          <w:rFonts w:ascii="Segoe UI" w:hAnsi="Segoe UI" w:cs="Segoe UI"/>
          <w:lang w:val="en-US" w:eastAsia="de-DE"/>
        </w:rPr>
        <w:lastRenderedPageBreak/>
        <w:t>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and as ILCs are innate immune cells, that are tissue-resident and potent sensors of their </w:t>
      </w:r>
      <w:proofErr w:type="spellStart"/>
      <w:r w:rsidR="00BD62F9" w:rsidRPr="003B4C23">
        <w:rPr>
          <w:rFonts w:ascii="Segoe UI" w:hAnsi="Segoe UI" w:cs="Segoe UI"/>
          <w:lang w:val="en-US" w:eastAsia="de-DE"/>
        </w:rPr>
        <w:t>surrounding</w:t>
      </w:r>
      <w:proofErr w:type="spellEnd"/>
      <w:r w:rsidR="00BD62F9" w:rsidRPr="003B4C23">
        <w:rPr>
          <w:rFonts w:ascii="Segoe UI" w:hAnsi="Segoe UI" w:cs="Segoe UI"/>
          <w:lang w:val="en-US" w:eastAsia="de-DE"/>
        </w:rPr>
        <w:t xml:space="preserve">, we decided to focus on very early time points of inflammation, namely day 1, 2, and 3 after the onset of inflammation using IL-33.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2A38D5FD" w:rsidR="00AB6D5E" w:rsidRPr="003B4C23" w:rsidRDefault="00AB6D5E" w:rsidP="00CD4F4D">
      <w:pPr>
        <w:jc w:val="both"/>
        <w:rPr>
          <w:rFonts w:ascii="Segoe UI" w:hAnsi="Segoe UI" w:cs="Segoe UI"/>
          <w:lang w:val="en-US" w:eastAsia="de-DE"/>
        </w:rPr>
      </w:pPr>
      <w:r w:rsidRPr="003B4C23">
        <w:rPr>
          <w:rFonts w:ascii="Segoe UI" w:hAnsi="Segoe UI" w:cs="Segoe UI"/>
          <w:lang w:val="en-US" w:eastAsia="de-DE"/>
        </w:rPr>
        <w:t xml:space="preserve">Taken together, we established a 40-marker MELC panel in murine lung tissue and combined this with a systemic inflammation model </w:t>
      </w:r>
      <w:r w:rsidR="00C80930" w:rsidRPr="003B4C23">
        <w:rPr>
          <w:rFonts w:ascii="Segoe UI" w:hAnsi="Segoe UI" w:cs="Segoe UI"/>
          <w:lang w:val="en-US" w:eastAsia="de-DE"/>
        </w:rPr>
        <w:t xml:space="preserve">based on consecutive IL-33 injections </w:t>
      </w:r>
      <w:r w:rsidRPr="003B4C23">
        <w:rPr>
          <w:rFonts w:ascii="Segoe UI" w:hAnsi="Segoe UI" w:cs="Segoe UI"/>
          <w:lang w:val="en-US" w:eastAsia="de-DE"/>
        </w:rPr>
        <w:t>where we focused on very early time points after the onset of inflammation.</w:t>
      </w:r>
      <w:r w:rsidR="00C80930" w:rsidRPr="003B4C23">
        <w:rPr>
          <w:rFonts w:ascii="Segoe UI" w:hAnsi="Segoe UI" w:cs="Segoe UI"/>
          <w:lang w:val="en-US" w:eastAsia="de-DE"/>
        </w:rPr>
        <w:t xml:space="preserve">  Using the microscopy-based method MELC</w:t>
      </w:r>
      <w:r w:rsidR="00BC6B54"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Pr="003B4C23" w:rsidRDefault="001B00D7" w:rsidP="00992A42">
      <w:pPr>
        <w:jc w:val="both"/>
        <w:rPr>
          <w:rFonts w:ascii="Segoe UI" w:hAnsi="Segoe UI" w:cs="Segoe UI"/>
          <w:lang w:val="en-US" w:eastAsia="de-DE"/>
        </w:rPr>
      </w:pPr>
      <w:bookmarkStart w:id="4"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Analysis was performed</w:t>
      </w:r>
      <w:r w:rsidRPr="003B4C23">
        <w:rPr>
          <w:rFonts w:ascii="Segoe UI" w:hAnsi="Segoe UI" w:cs="Segoe UI"/>
          <w:lang w:val="en-US" w:eastAsia="de-DE"/>
        </w:rPr>
        <w:t xml:space="preserve"> as described in the methods part</w:t>
      </w:r>
      <w:r w:rsidR="00A03970" w:rsidRPr="003B4C23">
        <w:rPr>
          <w:rFonts w:ascii="Segoe UI" w:hAnsi="Segoe UI" w:cs="Segoe UI"/>
          <w:lang w:val="en-US" w:eastAsia="de-DE"/>
        </w:rPr>
        <w:t>. Dimensionality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For visual validation, the annotated cell types, namely immune cells (</w:t>
      </w:r>
      <w:proofErr w:type="spellStart"/>
      <w:r w:rsidRPr="003B4C23">
        <w:rPr>
          <w:rFonts w:ascii="Segoe UI" w:hAnsi="Segoe UI" w:cs="Segoe UI"/>
          <w:lang w:val="en-US" w:eastAsia="de-DE"/>
        </w:rPr>
        <w:t>Darkcyan</w:t>
      </w:r>
      <w:proofErr w:type="spellEnd"/>
      <w:r w:rsidRPr="003B4C23">
        <w:rPr>
          <w:rFonts w:ascii="Segoe UI" w:hAnsi="Segoe UI" w:cs="Segoe UI"/>
          <w:lang w:val="en-US" w:eastAsia="de-DE"/>
        </w:rPr>
        <w:t xml:space="preserve">),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proofErr w:type="spellStart"/>
      <w:r w:rsidRPr="003B4C23">
        <w:rPr>
          <w:rFonts w:ascii="Segoe UI" w:hAnsi="Segoe UI" w:cs="Segoe UI"/>
          <w:lang w:val="en-US" w:eastAsia="de-DE"/>
        </w:rPr>
        <w:t>Darkmagenta</w:t>
      </w:r>
      <w:proofErr w:type="spellEnd"/>
      <w:r w:rsidRPr="003B4C23">
        <w:rPr>
          <w:rFonts w:ascii="Segoe UI" w:hAnsi="Segoe UI" w:cs="Segoe UI"/>
          <w:lang w:val="en-US" w:eastAsia="de-DE"/>
        </w:rPr>
        <w:t xml:space="preserve">),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 xml:space="preserve">MELC IF overlays of CD45 (Cyan), CD31 (Magenta),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4"/>
    <w:p w14:paraId="2FD30A14" w14:textId="23769FE6"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 we re-analyzed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type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For example, for the re-analysis of the immune compartment, only immune markers from the MELC panel were included</w:t>
      </w:r>
      <w:r w:rsidR="00C54D33">
        <w:rPr>
          <w:rFonts w:ascii="Segoe UI" w:hAnsi="Segoe UI" w:cs="Segoe UI"/>
          <w:lang w:val="en-US" w:eastAsia="de-DE"/>
        </w:rPr>
        <w:t xml:space="preserve"> (described in detail in the methods part)</w:t>
      </w:r>
      <w:r w:rsidR="00F403DE" w:rsidRPr="003B4C23">
        <w:rPr>
          <w:rFonts w:ascii="Segoe UI" w:hAnsi="Segoe UI" w:cs="Segoe UI"/>
          <w:lang w:val="en-US" w:eastAsia="de-DE"/>
        </w:rPr>
        <w:t xml:space="preserve">.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C54D33">
        <w:rPr>
          <w:rFonts w:ascii="Segoe UI" w:hAnsi="Segoe UI" w:cs="Segoe UI"/>
          <w:lang w:val="en-US" w:eastAsia="de-DE"/>
        </w:rPr>
        <w:t>V</w:t>
      </w:r>
      <w:r w:rsidR="00862A96" w:rsidRPr="003B4C23">
        <w:rPr>
          <w:rFonts w:ascii="Segoe UI" w:hAnsi="Segoe UI" w:cs="Segoe UI"/>
          <w:lang w:val="en-US" w:eastAsia="de-DE"/>
        </w:rPr>
        <w:t xml:space="preserve">isual validation 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 GATA3eGFP</w:t>
      </w:r>
      <w:r w:rsidR="0004726E" w:rsidRPr="003B4C23">
        <w:rPr>
          <w:rFonts w:ascii="Segoe UI" w:hAnsi="Segoe UI" w:cs="Segoe UI"/>
          <w:lang w:val="en-US" w:eastAsia="de-DE"/>
        </w:rPr>
        <w:t xml:space="preserve"> (Fig. 3B). The cluster annotated as ILC2s </w:t>
      </w:r>
      <w:r w:rsidR="00862A96" w:rsidRPr="003B4C23">
        <w:rPr>
          <w:rFonts w:ascii="Segoe UI" w:hAnsi="Segoe UI" w:cs="Segoe UI"/>
          <w:lang w:val="en-US" w:eastAsia="de-DE"/>
        </w:rPr>
        <w:t xml:space="preserve">had </w:t>
      </w:r>
      <w:r w:rsidR="0004726E" w:rsidRPr="003B4C23">
        <w:rPr>
          <w:rFonts w:ascii="Segoe UI" w:hAnsi="Segoe UI" w:cs="Segoe UI"/>
          <w:lang w:val="en-US" w:eastAsia="de-DE"/>
        </w:rPr>
        <w:t xml:space="preserve">high levels 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lastRenderedPageBreak/>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lung and </w:t>
      </w:r>
      <w:r w:rsidR="00992A42" w:rsidRPr="003B4C23">
        <w:rPr>
          <w:rFonts w:ascii="Segoe UI" w:hAnsi="Segoe UI" w:cs="Segoe UI"/>
          <w:b/>
          <w:sz w:val="25"/>
          <w:szCs w:val="25"/>
          <w:lang w:val="en-US" w:eastAsia="de-DE"/>
        </w:rPr>
        <w:t>only increase at IL-33 day 3</w:t>
      </w:r>
    </w:p>
    <w:p w14:paraId="036710BA" w14:textId="58966E17"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We first quantified the total count, as well as the proportions of the identified ILC subtypes within the immune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w:t>
      </w:r>
      <w:r w:rsidR="002420F9">
        <w:rPr>
          <w:rFonts w:ascii="Segoe UI" w:hAnsi="Segoe UI" w:cs="Segoe UI"/>
          <w:lang w:val="en-US" w:eastAsia="de-DE"/>
        </w:rPr>
        <w:t xml:space="preserve"> by median</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5939C802"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application to the controls revealed a small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 significant increase compared to healthy tissue was observed after three doses of IL-33 day. </w:t>
      </w:r>
    </w:p>
    <w:p w14:paraId="3847EB4F" w14:textId="2D243D05"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 xml:space="preserve">increasing by 8 percent points to a median of 8 % at IL-33 day 2 compared to healthy controls where the median was 0 % (data not shown). </w:t>
      </w:r>
    </w:p>
    <w:p w14:paraId="7D6C7524" w14:textId="3DF00E77"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4E15C5A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ILC subtypes within the tissue. </w:t>
      </w:r>
      <w:r w:rsidR="008D3060" w:rsidRPr="003B4C23">
        <w:rPr>
          <w:rFonts w:ascii="Segoe UI" w:hAnsi="Segoe UI" w:cs="Segoe UI"/>
          <w:lang w:val="en-US" w:eastAsia="de-DE"/>
        </w:rPr>
        <w:t>For this, we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w:t>
      </w:r>
      <w:r w:rsidR="008D3060" w:rsidRPr="003B4C23">
        <w:rPr>
          <w:rFonts w:ascii="Segoe UI" w:hAnsi="Segoe UI" w:cs="Segoe UI"/>
          <w:lang w:val="en-US" w:eastAsia="de-DE"/>
        </w:rPr>
        <w:lastRenderedPageBreak/>
        <w:t>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68E295F4"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Unlike ILC2s that showed to be spatially enriched close to lymphatic vessels, NK cells/ILC1s were co-enriched with EMCN+ CD31+ endothelial blood vessels (Fig. 6A). Of note,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5"/>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 xml:space="preserve">except for the differentiation of T cells and ILCs. For this, we combined the cells from the mixed ILC/T cell </w:t>
      </w:r>
      <w:r w:rsidR="00A07790" w:rsidRPr="003B4C23">
        <w:rPr>
          <w:rFonts w:ascii="Segoe UI" w:hAnsi="Segoe UI" w:cs="Segoe UI"/>
          <w:lang w:val="en-US" w:eastAsia="de-DE"/>
        </w:rPr>
        <w:lastRenderedPageBreak/>
        <w:t>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w:t>
      </w:r>
      <w:proofErr w:type="spellStart"/>
      <w:r w:rsidR="00F03B46" w:rsidRPr="003B4C23">
        <w:rPr>
          <w:rFonts w:ascii="Segoe UI" w:hAnsi="Segoe UI" w:cs="Segoe UI"/>
          <w:lang w:val="en-US" w:eastAsia="de-DE"/>
        </w:rPr>
        <w:t>cytotox</w:t>
      </w:r>
      <w:proofErr w:type="spellEnd"/>
      <w:r w:rsidR="00F03B46" w:rsidRPr="003B4C23">
        <w:rPr>
          <w:rFonts w:ascii="Segoe UI" w:hAnsi="Segoe UI" w:cs="Segoe UI"/>
          <w:lang w:val="en-US" w:eastAsia="de-DE"/>
        </w:rPr>
        <w:t>.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5"/>
      <w:r w:rsidR="00843982" w:rsidRPr="003B4C23">
        <w:rPr>
          <w:rStyle w:val="Kommentarzeichen"/>
          <w:lang w:val="en-US"/>
        </w:rPr>
        <w:commentReference w:id="5"/>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77777777"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the different 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with no significant differences (Suppl.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52A1977B" w:rsidR="00CA6566" w:rsidRP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xml:space="preserve">, the epithelia II cluster was also marked by high intensities of Ki67, as well as </w:t>
      </w:r>
      <w:r w:rsidR="00CE1D87" w:rsidRPr="00BA492B">
        <w:rPr>
          <w:rFonts w:ascii="Segoe UI" w:hAnsi="Segoe UI" w:cs="Segoe UI"/>
          <w:lang w:val="en-US" w:eastAsia="de-DE"/>
        </w:rPr>
        <w:lastRenderedPageBreak/>
        <w:t>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K-M</w:t>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17BED1DD" w:rsidR="00B35130" w:rsidRPr="0036111A" w:rsidRDefault="0036111A" w:rsidP="0036111A">
      <w:pPr>
        <w:jc w:val="both"/>
        <w:rPr>
          <w:rFonts w:ascii="Segoe UI" w:hAnsi="Segoe UI" w:cs="Segoe UI"/>
          <w:bCs/>
          <w:lang w:val="en-US"/>
        </w:rPr>
      </w:pPr>
      <w:r w:rsidRPr="0036111A">
        <w:rPr>
          <w:rFonts w:ascii="Segoe UI" w:hAnsi="Segoe UI" w:cs="Segoe UI"/>
          <w:bCs/>
          <w:lang w:val="en-US"/>
        </w:rPr>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 xml:space="preserve">IF to identify ILCs and ILC subtypes in murine lung and SI tissue under homeostasis </w:t>
      </w:r>
      <w:r>
        <w:rPr>
          <w:rFonts w:ascii="Segoe UI" w:hAnsi="Segoe UI" w:cs="Segoe UI"/>
          <w:bCs/>
          <w:lang w:val="en-US"/>
        </w:rPr>
        <w:t xml:space="preserve">and </w:t>
      </w:r>
      <w:r w:rsidRPr="0036111A">
        <w:rPr>
          <w:rFonts w:ascii="Segoe UI" w:hAnsi="Segoe UI" w:cs="Segoe UI"/>
          <w:bCs/>
          <w:lang w:val="en-US"/>
        </w:rPr>
        <w:t xml:space="preserve">investigate </w:t>
      </w:r>
      <w:r>
        <w:rPr>
          <w:rFonts w:ascii="Segoe UI" w:hAnsi="Segoe UI" w:cs="Segoe UI"/>
          <w:bCs/>
          <w:lang w:val="en-US"/>
        </w:rPr>
        <w:t xml:space="preserve">their </w:t>
      </w:r>
      <w:r>
        <w:rPr>
          <w:rFonts w:ascii="Segoe UI" w:hAnsi="Segoe UI" w:cs="Segoe UI"/>
          <w:bCs/>
          <w:lang w:val="en-US"/>
        </w:rPr>
        <w:t xml:space="preserve">adaptations </w:t>
      </w:r>
      <w:r>
        <w:rPr>
          <w:rFonts w:ascii="Segoe UI" w:hAnsi="Segoe UI" w:cs="Segoe UI"/>
          <w:bCs/>
          <w:lang w:val="en-US"/>
        </w:rPr>
        <w:t xml:space="preserve">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rather focus on either highly abundant immune cells, often T cells and B cells in the context of tumors, we were rather interested in establishing a workflow that </w:t>
      </w:r>
      <w:r w:rsidR="00B35130">
        <w:rPr>
          <w:rFonts w:ascii="Segoe UI" w:hAnsi="Segoe UI" w:cs="Segoe UI"/>
          <w:bCs/>
          <w:lang w:val="en-US"/>
        </w:rPr>
        <w:t xml:space="preserve">(I) </w:t>
      </w:r>
      <w:r w:rsidR="00B35130">
        <w:rPr>
          <w:rFonts w:ascii="Segoe UI" w:hAnsi="Segoe UI" w:cs="Segoe UI"/>
          <w:bCs/>
          <w:lang w:val="en-US"/>
        </w:rPr>
        <w:t xml:space="preserve">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(B) </w:t>
      </w:r>
      <w:r w:rsidR="00FE0C2F">
        <w:rPr>
          <w:rFonts w:ascii="Segoe UI" w:hAnsi="Segoe UI" w:cs="Segoe UI"/>
          <w:bCs/>
          <w:lang w:val="en-US"/>
        </w:rPr>
        <w:t xml:space="preserve">enables to </w:t>
      </w:r>
      <w:r w:rsidR="00B35130">
        <w:rPr>
          <w:rFonts w:ascii="Segoe UI" w:hAnsi="Segoe UI" w:cs="Segoe UI"/>
          <w:bCs/>
          <w:lang w:val="en-US"/>
        </w:rPr>
        <w:t xml:space="preserve">perform spatial neighborhood analysis to identify conserved or tissue-specific distribution patterns of cells. Thereby, we were especially interested in ILCs, rare innate immune cells that are tissue resident and quickly react to changes in their microenvironment.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0B87D661" w:rsidR="00ED396E" w:rsidRPr="00ED396E" w:rsidRDefault="00ED396E" w:rsidP="00BF7639">
      <w:pPr>
        <w:jc w:val="both"/>
        <w:rPr>
          <w:rFonts w:ascii="Segoe UI" w:hAnsi="Segoe UI" w:cs="Segoe UI"/>
          <w:bCs/>
          <w:lang w:val="en-US"/>
        </w:rPr>
      </w:pPr>
      <w:r>
        <w:rPr>
          <w:rFonts w:ascii="Segoe UI" w:hAnsi="Segoe UI" w:cs="Segoe UI"/>
          <w:bCs/>
          <w:lang w:val="en-US"/>
        </w:rPr>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type 2 inflammation model. Using an optimized image and data analysis workflow consisting of different open-source software, we were able to annotate</w:t>
      </w:r>
      <w:r w:rsidR="00084544">
        <w:rPr>
          <w:rFonts w:ascii="Segoe UI" w:hAnsi="Segoe UI" w:cs="Segoe UI"/>
          <w:bCs/>
          <w:lang w:val="en-US"/>
        </w:rPr>
        <w:t xml:space="preserve"> different ILC subtypes</w:t>
      </w:r>
      <w:r w:rsidR="00084544">
        <w:rPr>
          <w:rFonts w:ascii="Segoe UI" w:hAnsi="Segoe UI" w:cs="Segoe UI"/>
          <w:bCs/>
          <w:lang w:val="en-US"/>
        </w:rPr>
        <w:t xml:space="preserve"> </w:t>
      </w:r>
      <w:r w:rsidR="006F2E08">
        <w:rPr>
          <w:rFonts w:ascii="Segoe UI" w:hAnsi="Segoe UI" w:cs="Segoe UI"/>
          <w:bCs/>
          <w:lang w:val="en-US"/>
        </w:rPr>
        <w:t xml:space="preserve">in both organs </w:t>
      </w:r>
      <w:r w:rsidR="00084544">
        <w:rPr>
          <w:rFonts w:ascii="Segoe UI" w:hAnsi="Segoe UI" w:cs="Segoe UI"/>
          <w:bCs/>
          <w:lang w:val="en-US"/>
        </w:rPr>
        <w:t xml:space="preserve">as well as </w:t>
      </w:r>
      <w:r w:rsidR="00084544">
        <w:rPr>
          <w:rFonts w:ascii="Segoe UI" w:hAnsi="Segoe UI" w:cs="Segoe UI"/>
          <w:bCs/>
          <w:lang w:val="en-US"/>
        </w:rPr>
        <w:t xml:space="preserve">other immune and non-immune </w:t>
      </w:r>
      <w:r w:rsidR="00084544">
        <w:rPr>
          <w:rFonts w:ascii="Segoe UI" w:hAnsi="Segoe UI" w:cs="Segoe UI"/>
          <w:bCs/>
          <w:lang w:val="en-US"/>
        </w:rPr>
        <w:t>cell types.</w:t>
      </w:r>
      <w:r w:rsidR="006F2E08">
        <w:rPr>
          <w:rFonts w:ascii="Segoe UI" w:hAnsi="Segoe UI" w:cs="Segoe UI"/>
          <w:bCs/>
          <w:lang w:val="en-US"/>
        </w:rPr>
        <w:t xml:space="preserve"> 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strong significant </w:t>
      </w:r>
      <w:r w:rsidR="006F2E08">
        <w:rPr>
          <w:rFonts w:ascii="Segoe UI" w:hAnsi="Segoe UI" w:cs="Segoe UI"/>
          <w:bCs/>
          <w:lang w:val="en-US"/>
        </w:rPr>
        <w:t xml:space="preserve">increase </w:t>
      </w:r>
      <w:r w:rsidR="00411C14">
        <w:rPr>
          <w:rFonts w:ascii="Segoe UI" w:hAnsi="Segoe UI" w:cs="Segoe UI"/>
          <w:bCs/>
          <w:lang w:val="en-US"/>
        </w:rPr>
        <w:t>in</w:t>
      </w:r>
      <w:r w:rsidR="0074587B">
        <w:rPr>
          <w:rFonts w:ascii="Segoe UI" w:hAnsi="Segoe UI" w:cs="Segoe UI"/>
          <w:bCs/>
          <w:lang w:val="en-US"/>
        </w:rPr>
        <w:t xml:space="preserve"> ILCs,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ILCs, NK cells/ILC1s, and ILC2s at IL-33 day 3. Spatial co-enrichment analysis </w:t>
      </w:r>
      <w:r w:rsidR="00BF7639">
        <w:rPr>
          <w:rFonts w:ascii="Segoe UI" w:hAnsi="Segoe UI" w:cs="Segoe UI"/>
          <w:bCs/>
          <w:lang w:val="en-US"/>
        </w:rPr>
        <w:t xml:space="preserve">revealed </w:t>
      </w:r>
      <w:r w:rsidR="00BF7639">
        <w:rPr>
          <w:rFonts w:ascii="Segoe UI" w:hAnsi="Segoe UI" w:cs="Segoe UI"/>
          <w:bCs/>
          <w:lang w:val="en-US"/>
        </w:rPr>
        <w:t xml:space="preserve">a peri-lymphatic localization of lung ILC2s </w:t>
      </w:r>
      <w:r w:rsidR="00BF7639">
        <w:rPr>
          <w:rFonts w:ascii="Segoe UI" w:hAnsi="Segoe UI" w:cs="Segoe UI"/>
          <w:bCs/>
          <w:lang w:val="en-US"/>
        </w:rPr>
        <w:t>and a shared niche of both lung and intestinal ILC2s with ILC2s and myeloid cells. In contrast, lung NK cells/ILC1s did not localize together with lymphatics but with blood endothelial cells, in peri-vascular niches. Co-enrichment of intestinal NK cells/ILC1s/ILC3s with other immune and non-immune cells was only observable for NK cells/ILC1s/ILC3s and 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20B974B3" w14:textId="77777777" w:rsidR="00BF7639" w:rsidRDefault="00BF7639" w:rsidP="0036111A">
      <w:pPr>
        <w:jc w:val="both"/>
        <w:rPr>
          <w:rFonts w:ascii="Segoe UI" w:hAnsi="Segoe UI" w:cs="Segoe UI"/>
          <w:bCs/>
          <w:lang w:val="en-US"/>
        </w:rPr>
      </w:pPr>
    </w:p>
    <w:p w14:paraId="69F818E9" w14:textId="12597CA1" w:rsidR="004167EE" w:rsidRDefault="004167EE" w:rsidP="00852576">
      <w:pPr>
        <w:jc w:val="both"/>
        <w:rPr>
          <w:rFonts w:ascii="Segoe UI" w:hAnsi="Segoe UI" w:cs="Segoe UI"/>
          <w:bCs/>
          <w:lang w:val="en-US"/>
        </w:rPr>
      </w:pPr>
      <w:r>
        <w:rPr>
          <w:rFonts w:ascii="Segoe UI" w:hAnsi="Segoe UI" w:cs="Segoe UI"/>
          <w:bCs/>
          <w:lang w:val="en-US"/>
        </w:rPr>
        <w:t>Our spatial analysis</w:t>
      </w:r>
      <w:r w:rsidR="00852576">
        <w:rPr>
          <w:rFonts w:ascii="Segoe UI" w:hAnsi="Segoe UI" w:cs="Segoe UI"/>
          <w:bCs/>
          <w:lang w:val="en-US"/>
        </w:rPr>
        <w:t xml:space="preserve"> confirm a </w:t>
      </w:r>
      <w:proofErr w:type="spellStart"/>
      <w:r w:rsidR="00852576">
        <w:rPr>
          <w:rFonts w:ascii="Segoe UI" w:hAnsi="Segoe UI" w:cs="Segoe UI"/>
          <w:bCs/>
          <w:lang w:val="en-US"/>
        </w:rPr>
        <w:t>bronchovascular</w:t>
      </w:r>
      <w:proofErr w:type="spellEnd"/>
      <w:r w:rsidR="00852576">
        <w:rPr>
          <w:rFonts w:ascii="Segoe UI" w:hAnsi="Segoe UI" w:cs="Segoe UI"/>
          <w:bCs/>
          <w:lang w:val="en-US"/>
        </w:rPr>
        <w:t xml:space="preserve"> localization of ILC2s in the lung described by </w:t>
      </w:r>
      <w:commentRangeStart w:id="6"/>
      <w:r w:rsidR="00852576">
        <w:rPr>
          <w:rFonts w:ascii="Segoe UI" w:hAnsi="Segoe UI" w:cs="Segoe UI"/>
          <w:bCs/>
          <w:lang w:val="en-US"/>
        </w:rPr>
        <w:t>Dahlgren et. al</w:t>
      </w:r>
      <w:commentRangeEnd w:id="6"/>
      <w:r w:rsidR="00852576">
        <w:rPr>
          <w:rStyle w:val="Kommentarzeichen"/>
        </w:rPr>
        <w:commentReference w:id="6"/>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7"/>
      <w:r w:rsidR="00852576">
        <w:rPr>
          <w:rFonts w:ascii="Segoe UI" w:hAnsi="Segoe UI" w:cs="Segoe UI"/>
          <w:bCs/>
          <w:lang w:val="en-US"/>
        </w:rPr>
        <w:t>ICOS regulates ILC2 homeostasis independently of T cells and B cells and is required for the proliferation and accumulation of mature ILC2s in the lungs and intestines (</w:t>
      </w:r>
      <w:proofErr w:type="spellStart"/>
      <w:r w:rsidR="00852576">
        <w:rPr>
          <w:rFonts w:ascii="Segoe UI" w:hAnsi="Segoe UI" w:cs="Segoe UI"/>
          <w:bCs/>
          <w:lang w:val="en-US"/>
        </w:rPr>
        <w:t>Paclik</w:t>
      </w:r>
      <w:proofErr w:type="spellEnd"/>
      <w:r w:rsidR="00852576">
        <w:rPr>
          <w:rFonts w:ascii="Segoe UI" w:hAnsi="Segoe UI" w:cs="Segoe UI"/>
          <w:bCs/>
          <w:lang w:val="en-US"/>
        </w:rPr>
        <w:t xml:space="preserve"> et. al, </w:t>
      </w:r>
      <w:proofErr w:type="spellStart"/>
      <w:r w:rsidR="00852576">
        <w:rPr>
          <w:rFonts w:ascii="Segoe UI" w:hAnsi="Segoe UI" w:cs="Segoe UI"/>
          <w:bCs/>
          <w:lang w:val="en-US"/>
        </w:rPr>
        <w:t>doi</w:t>
      </w:r>
      <w:proofErr w:type="spellEnd"/>
      <w:r w:rsidR="00852576" w:rsidRPr="00900F7D">
        <w:rPr>
          <w:rFonts w:ascii="Segoe UI" w:hAnsi="Segoe UI" w:cs="Segoe UI"/>
          <w:bCs/>
          <w:lang w:val="en-US"/>
        </w:rPr>
        <w:t xml:space="preserve">: </w:t>
      </w:r>
      <w:r w:rsidR="00852576" w:rsidRPr="00900F7D">
        <w:rPr>
          <w:rFonts w:ascii="Segoe UI" w:hAnsi="Segoe UI" w:cs="Segoe UI"/>
          <w:bCs/>
          <w:lang w:val="en-US"/>
        </w:rPr>
        <w:lastRenderedPageBreak/>
        <w:t>10.1002/eji.201545635</w:t>
      </w:r>
      <w:r w:rsidR="00852576">
        <w:rPr>
          <w:rFonts w:ascii="Segoe UI" w:hAnsi="Segoe UI" w:cs="Segoe UI"/>
          <w:bCs/>
          <w:lang w:val="en-US"/>
        </w:rPr>
        <w:t xml:space="preserve">). </w:t>
      </w:r>
      <w:commentRangeEnd w:id="7"/>
      <w:r w:rsidR="00852576">
        <w:rPr>
          <w:rStyle w:val="Kommentarzeichen"/>
        </w:rPr>
        <w:commentReference w:id="7"/>
      </w:r>
      <w:commentRangeStart w:id="8"/>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 xml:space="preserve">PR8 </w:t>
      </w:r>
      <w:proofErr w:type="spellStart"/>
      <w:r w:rsidR="00852576" w:rsidRPr="005C0585">
        <w:rPr>
          <w:rFonts w:ascii="Segoe UI" w:hAnsi="Segoe UI" w:cs="Segoe UI"/>
          <w:bCs/>
        </w:rPr>
        <w:t>influenza</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infection</w:t>
      </w:r>
      <w:proofErr w:type="spellEnd"/>
      <w:r w:rsidR="00852576" w:rsidRPr="005C0585">
        <w:rPr>
          <w:rFonts w:ascii="Segoe UI" w:hAnsi="Segoe UI" w:cs="Segoe UI"/>
          <w:bCs/>
        </w:rPr>
        <w:t xml:space="preserve"> and LPS </w:t>
      </w:r>
      <w:proofErr w:type="spellStart"/>
      <w:r w:rsidR="00852576" w:rsidRPr="005C0585">
        <w:rPr>
          <w:rFonts w:ascii="Segoe UI" w:hAnsi="Segoe UI" w:cs="Segoe UI"/>
          <w:bCs/>
        </w:rPr>
        <w:t>airway</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challenge</w:t>
      </w:r>
      <w:proofErr w:type="spellEnd"/>
      <w:r w:rsidR="00852576" w:rsidRPr="005C0585">
        <w:rPr>
          <w:rFonts w:ascii="Segoe UI" w:hAnsi="Segoe UI" w:cs="Segoe UI"/>
          <w:bCs/>
          <w:lang w:val="en-US"/>
        </w:rPr>
        <w:t xml:space="preserve"> </w:t>
      </w:r>
      <w:r w:rsidR="00852576">
        <w:rPr>
          <w:rFonts w:ascii="Segoe UI" w:hAnsi="Segoe UI" w:cs="Segoe UI"/>
          <w:bCs/>
          <w:lang w:val="en-US"/>
        </w:rPr>
        <w:t>(</w:t>
      </w:r>
      <w:proofErr w:type="spellStart"/>
      <w:r w:rsidR="00852576" w:rsidRPr="007D3EAE">
        <w:rPr>
          <w:rFonts w:ascii="Segoe UI" w:hAnsi="Segoe UI" w:cs="Segoe UI"/>
          <w:bCs/>
          <w:lang w:val="en-US"/>
        </w:rPr>
        <w:t>Hrusch</w:t>
      </w:r>
      <w:proofErr w:type="spellEnd"/>
      <w:r w:rsidR="00852576" w:rsidRPr="007D3EAE">
        <w:rPr>
          <w:rFonts w:ascii="Segoe UI" w:hAnsi="Segoe UI" w:cs="Segoe UI"/>
          <w:bCs/>
          <w:lang w:val="en-US"/>
        </w:rPr>
        <w:t xml:space="preserve"> et. al, </w:t>
      </w:r>
      <w:proofErr w:type="spellStart"/>
      <w:r w:rsidR="00852576" w:rsidRPr="007D3EAE">
        <w:rPr>
          <w:rFonts w:ascii="Segoe UI" w:hAnsi="Segoe UI" w:cs="Segoe UI"/>
          <w:bCs/>
          <w:lang w:val="en-US"/>
        </w:rPr>
        <w:t>doi</w:t>
      </w:r>
      <w:proofErr w:type="spellEnd"/>
      <w:r w:rsidR="00852576" w:rsidRPr="007D3EAE">
        <w:rPr>
          <w:rFonts w:ascii="Segoe UI" w:hAnsi="Segoe UI" w:cs="Segoe UI"/>
          <w:bCs/>
          <w:lang w:val="en-US"/>
        </w:rPr>
        <w:t>: 10.1038/mi.2017.42</w:t>
      </w:r>
      <w:r w:rsidR="00852576">
        <w:rPr>
          <w:rFonts w:ascii="Segoe UI" w:hAnsi="Segoe UI" w:cs="Segoe UI"/>
          <w:bCs/>
          <w:lang w:val="en-US"/>
        </w:rPr>
        <w:t>)</w:t>
      </w:r>
      <w:commentRangeEnd w:id="8"/>
      <w:r w:rsidR="00852576">
        <w:rPr>
          <w:rStyle w:val="Kommentarzeichen"/>
        </w:rPr>
        <w:commentReference w:id="8"/>
      </w:r>
      <w:r w:rsidR="00852576">
        <w:rPr>
          <w:rFonts w:ascii="Segoe UI" w:hAnsi="Segoe UI" w:cs="Segoe UI"/>
          <w:bCs/>
          <w:lang w:val="en-US"/>
        </w:rPr>
        <w:t xml:space="preserve"> as well as intra-nasal application of IL-33 (</w:t>
      </w:r>
      <w:proofErr w:type="spellStart"/>
      <w:r w:rsidR="00852576" w:rsidRPr="005C0585">
        <w:rPr>
          <w:rFonts w:ascii="Segoe UI" w:hAnsi="Segoe UI" w:cs="Segoe UI"/>
          <w:bCs/>
          <w:highlight w:val="yellow"/>
          <w:lang w:val="en-US"/>
        </w:rPr>
        <w:t>Paclik</w:t>
      </w:r>
      <w:proofErr w:type="spellEnd"/>
      <w:r w:rsidR="00852576" w:rsidRPr="005C0585">
        <w:rPr>
          <w:rFonts w:ascii="Segoe UI" w:hAnsi="Segoe UI" w:cs="Segoe UI"/>
          <w:bCs/>
          <w:highlight w:val="yellow"/>
          <w:lang w:val="en-US"/>
        </w:rPr>
        <w:t xml:space="preserve"> et. al, </w:t>
      </w:r>
      <w:proofErr w:type="spellStart"/>
      <w:r w:rsidR="00852576" w:rsidRPr="005C0585">
        <w:rPr>
          <w:rFonts w:ascii="Segoe UI" w:hAnsi="Segoe UI" w:cs="Segoe UI"/>
          <w:bCs/>
          <w:highlight w:val="yellow"/>
          <w:lang w:val="en-US"/>
        </w:rPr>
        <w:t>doi</w:t>
      </w:r>
      <w:proofErr w:type="spellEnd"/>
      <w:r w:rsidR="00852576" w:rsidRPr="005C0585">
        <w:rPr>
          <w:rFonts w:ascii="Segoe UI" w:hAnsi="Segoe UI" w:cs="Segoe UI"/>
          <w:bCs/>
          <w:highlight w:val="yellow"/>
          <w:lang w:val="en-US"/>
        </w:rPr>
        <w:t>: 10.1002/eji.201545635</w:t>
      </w:r>
      <w:r w:rsidR="00852576">
        <w:rPr>
          <w:rFonts w:ascii="Segoe UI" w:hAnsi="Segoe UI" w:cs="Segoe UI"/>
          <w:bCs/>
          <w:lang w:val="en-US"/>
        </w:rPr>
        <w:t xml:space="preserve">), but this has not yet been shown for the </w:t>
      </w:r>
      <w:proofErr w:type="spellStart"/>
      <w:r w:rsidR="00852576" w:rsidRPr="005C0585">
        <w:rPr>
          <w:rFonts w:ascii="Segoe UI" w:hAnsi="Segoe UI" w:cs="Segoe UI"/>
          <w:bCs/>
          <w:i/>
          <w:lang w:val="en-US"/>
        </w:rPr>
        <w:t>i.p.</w:t>
      </w:r>
      <w:proofErr w:type="spellEnd"/>
      <w:r w:rsidR="00852576">
        <w:rPr>
          <w:rFonts w:ascii="Segoe UI" w:hAnsi="Segoe UI" w:cs="Segoe UI"/>
          <w:bCs/>
          <w:lang w:val="en-US"/>
        </w:rPr>
        <w:t xml:space="preserve"> IL-33 systemic inflammation model. </w:t>
      </w:r>
      <w:r>
        <w:rPr>
          <w:rFonts w:ascii="Segoe UI" w:hAnsi="Segoe UI" w:cs="Segoe UI"/>
          <w:bCs/>
          <w:lang w:val="en-US"/>
        </w:rPr>
        <w:t xml:space="preserve">Furthermore, </w:t>
      </w:r>
      <w:r>
        <w:rPr>
          <w:rFonts w:ascii="Segoe UI" w:hAnsi="Segoe UI" w:cs="Segoe UI"/>
          <w:bCs/>
          <w:lang w:val="en-US"/>
        </w:rPr>
        <w:t>ILC2s accumulate together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proofErr w:type="spellStart"/>
      <w:r w:rsidR="00852576" w:rsidRPr="00056F9A">
        <w:rPr>
          <w:rFonts w:ascii="Segoe UI" w:hAnsi="Segoe UI" w:cs="Segoe UI"/>
          <w:bCs/>
          <w:highlight w:val="yellow"/>
          <w:lang w:val="en-US"/>
        </w:rPr>
        <w:t>Zaynagetdinov</w:t>
      </w:r>
      <w:proofErr w:type="spellEnd"/>
      <w:r w:rsidR="00852576" w:rsidRPr="00056F9A">
        <w:rPr>
          <w:rFonts w:ascii="Segoe UI" w:hAnsi="Segoe UI" w:cs="Segoe UI"/>
          <w:bCs/>
          <w:highlight w:val="yellow"/>
          <w:lang w:val="en-US"/>
        </w:rPr>
        <w:t xml:space="preserve"> et. al, </w:t>
      </w:r>
      <w:proofErr w:type="spellStart"/>
      <w:r w:rsidR="00852576" w:rsidRPr="00056F9A">
        <w:rPr>
          <w:rFonts w:ascii="Segoe UI" w:hAnsi="Segoe UI" w:cs="Segoe UI"/>
          <w:bCs/>
          <w:highlight w:val="yellow"/>
        </w:rPr>
        <w:t>doi</w:t>
      </w:r>
      <w:proofErr w:type="spellEnd"/>
      <w:r w:rsidR="00852576" w:rsidRPr="00056F9A">
        <w:rPr>
          <w:rFonts w:ascii="Segoe UI" w:hAnsi="Segoe UI" w:cs="Segoe UI"/>
          <w:bCs/>
          <w:highlight w:val="yellow"/>
        </w:rPr>
        <w:t>: 10.1165/rcmb.2012-0366MA</w:t>
      </w:r>
      <w:r w:rsidR="00852576" w:rsidRPr="00056F9A">
        <w:rPr>
          <w:rFonts w:ascii="Segoe UI" w:hAnsi="Segoe UI" w:cs="Segoe UI"/>
          <w:bCs/>
          <w:lang w:val="en-US"/>
        </w:rPr>
        <w:t>)</w:t>
      </w:r>
      <w:r w:rsidR="00852576">
        <w:rPr>
          <w:rFonts w:ascii="Segoe UI" w:hAnsi="Segoe UI" w:cs="Segoe UI"/>
          <w:bCs/>
          <w:lang w:val="en-US"/>
        </w:rPr>
        <w:t xml:space="preserve">. A shared niche of ILC2s and myeloid cells that our spatial co-enrichment analysis revealed suggests an interaction of ILC2s and myeloid cells as described by </w:t>
      </w:r>
      <w:proofErr w:type="spellStart"/>
      <w:r w:rsidR="00852576" w:rsidRPr="007D3EAE">
        <w:rPr>
          <w:rFonts w:ascii="Segoe UI" w:hAnsi="Segoe UI" w:cs="Segoe UI"/>
          <w:bCs/>
          <w:lang w:val="en-US"/>
        </w:rPr>
        <w:t>Hrusch</w:t>
      </w:r>
      <w:proofErr w:type="spellEnd"/>
      <w:r w:rsidR="00852576">
        <w:rPr>
          <w:rFonts w:ascii="Segoe UI" w:hAnsi="Segoe UI" w:cs="Segoe UI"/>
          <w:bCs/>
          <w:lang w:val="en-US"/>
        </w:rPr>
        <w:t> </w:t>
      </w:r>
      <w:r w:rsidR="00852576" w:rsidRPr="007D3EAE">
        <w:rPr>
          <w:rFonts w:ascii="Segoe UI" w:hAnsi="Segoe UI" w:cs="Segoe UI"/>
          <w:bCs/>
          <w:lang w:val="en-US"/>
        </w:rPr>
        <w:t>et.</w:t>
      </w:r>
      <w:r w:rsidR="00852576">
        <w:rPr>
          <w:rFonts w:ascii="Segoe UI" w:hAnsi="Segoe UI" w:cs="Segoe UI"/>
          <w:bCs/>
          <w:lang w:val="en-US"/>
        </w:rPr>
        <w:t> </w:t>
      </w:r>
      <w:r w:rsidR="00852576" w:rsidRPr="007D3EAE">
        <w:rPr>
          <w:rFonts w:ascii="Segoe UI" w:hAnsi="Segoe UI" w:cs="Segoe UI"/>
          <w:bCs/>
          <w:lang w:val="en-US"/>
        </w:rPr>
        <w:t>al</w:t>
      </w:r>
      <w:r w:rsidR="00852576">
        <w:rPr>
          <w:rFonts w:ascii="Segoe UI" w:hAnsi="Segoe UI" w:cs="Segoe UI"/>
          <w:bCs/>
          <w:lang w:val="en-US"/>
        </w:rPr>
        <w:t xml:space="preserve"> at early time points of bleomycin-induced lung inflammation where increased ICOSL in alveolar macrophages is found (</w:t>
      </w:r>
      <w:proofErr w:type="spellStart"/>
      <w:r w:rsidR="00852576" w:rsidRPr="004B71B7">
        <w:rPr>
          <w:rFonts w:ascii="Segoe UI" w:hAnsi="Segoe UI" w:cs="Segoe UI"/>
          <w:bCs/>
          <w:lang w:val="en-US"/>
        </w:rPr>
        <w:t>Hrusch</w:t>
      </w:r>
      <w:proofErr w:type="spellEnd"/>
      <w:r w:rsidR="00852576">
        <w:rPr>
          <w:rFonts w:ascii="Segoe UI" w:hAnsi="Segoe UI" w:cs="Segoe UI"/>
          <w:bCs/>
          <w:lang w:val="en-US"/>
        </w:rPr>
        <w:t> </w:t>
      </w:r>
      <w:r w:rsidR="00852576" w:rsidRPr="004B71B7">
        <w:rPr>
          <w:rFonts w:ascii="Segoe UI" w:hAnsi="Segoe UI" w:cs="Segoe UI"/>
          <w:bCs/>
          <w:lang w:val="en-US"/>
        </w:rPr>
        <w:t>et.</w:t>
      </w:r>
      <w:r w:rsidR="00852576">
        <w:rPr>
          <w:rFonts w:ascii="Segoe UI" w:hAnsi="Segoe UI" w:cs="Segoe UI"/>
          <w:bCs/>
          <w:lang w:val="en-US"/>
        </w:rPr>
        <w:t> </w:t>
      </w:r>
      <w:r w:rsidR="00852576" w:rsidRPr="004B71B7">
        <w:rPr>
          <w:rFonts w:ascii="Segoe UI" w:hAnsi="Segoe UI" w:cs="Segoe UI"/>
          <w:bCs/>
          <w:lang w:val="en-US"/>
        </w:rPr>
        <w:t xml:space="preserve">al, </w:t>
      </w:r>
      <w:proofErr w:type="spellStart"/>
      <w:r w:rsidR="00852576" w:rsidRPr="004B71B7">
        <w:rPr>
          <w:rFonts w:ascii="Segoe UI" w:hAnsi="Segoe UI" w:cs="Segoe UI"/>
          <w:bCs/>
          <w:lang w:val="en-US"/>
        </w:rPr>
        <w:t>doi</w:t>
      </w:r>
      <w:proofErr w:type="spellEnd"/>
      <w:r w:rsidR="00852576" w:rsidRPr="004B71B7">
        <w:rPr>
          <w:rFonts w:ascii="Segoe UI" w:hAnsi="Segoe UI" w:cs="Segoe UI"/>
          <w:bCs/>
          <w:lang w:val="en-US"/>
        </w:rPr>
        <w:t>: 10.1038/mi.2017.42</w:t>
      </w:r>
      <w:r w:rsidR="00852576">
        <w:rPr>
          <w:rFonts w:ascii="Segoe UI" w:hAnsi="Segoe UI" w:cs="Segoe UI"/>
          <w:bCs/>
          <w:lang w:val="en-US"/>
        </w:rPr>
        <w:t xml:space="preserve">). </w:t>
      </w:r>
    </w:p>
    <w:p w14:paraId="17062E85" w14:textId="014DAA4E" w:rsidR="004167EE" w:rsidRDefault="004167EE" w:rsidP="00852576">
      <w:pPr>
        <w:jc w:val="both"/>
        <w:rPr>
          <w:rFonts w:ascii="Segoe UI" w:hAnsi="Segoe UI" w:cs="Segoe UI"/>
          <w:bCs/>
          <w:lang w:val="en-US"/>
        </w:rPr>
      </w:pPr>
      <w:r>
        <w:rPr>
          <w:rFonts w:ascii="Segoe UI" w:hAnsi="Segoe UI" w:cs="Segoe UI"/>
          <w:bCs/>
          <w:lang w:val="en-US"/>
        </w:rPr>
        <w:t>T</w:t>
      </w:r>
      <w:r w:rsidR="002F05DE">
        <w:rPr>
          <w:rFonts w:ascii="Segoe UI" w:hAnsi="Segoe UI" w:cs="Segoe UI"/>
          <w:bCs/>
          <w:lang w:val="en-US"/>
        </w:rPr>
        <w:t>in general, t</w:t>
      </w:r>
      <w:r>
        <w:rPr>
          <w:rFonts w:ascii="Segoe UI" w:hAnsi="Segoe UI" w:cs="Segoe UI"/>
          <w:bCs/>
          <w:lang w:val="en-US"/>
        </w:rPr>
        <w:t xml:space="preserve">he number of ILC2s highly depends on </w:t>
      </w:r>
      <w:r w:rsidR="002F05DE">
        <w:rPr>
          <w:rFonts w:ascii="Segoe UI" w:hAnsi="Segoe UI" w:cs="Segoe UI"/>
          <w:bCs/>
          <w:lang w:val="en-US"/>
        </w:rPr>
        <w:t xml:space="preserve">age, sex, and other environmental conditions, but in murine lungs, it is considered very low, e.g. </w:t>
      </w:r>
      <w:proofErr w:type="spellStart"/>
      <w:r w:rsidR="002F05DE">
        <w:rPr>
          <w:rFonts w:ascii="Segoe UI" w:hAnsi="Segoe UI" w:cs="Segoe UI"/>
          <w:bCs/>
          <w:lang w:val="en-US"/>
        </w:rPr>
        <w:t>Sadeghalvad</w:t>
      </w:r>
      <w:proofErr w:type="spellEnd"/>
      <w:r w:rsidR="002F05DE">
        <w:rPr>
          <w:rFonts w:ascii="Segoe UI" w:hAnsi="Segoe UI" w:cs="Segoe UI"/>
          <w:bCs/>
          <w:lang w:val="en-US"/>
        </w:rPr>
        <w:t xml:space="preserve"> et. al reported an ILC2s frequency of </w:t>
      </w:r>
      <w:r w:rsidRPr="004167EE">
        <w:rPr>
          <w:rFonts w:ascii="Segoe UI" w:hAnsi="Segoe UI" w:cs="Segoe UI"/>
          <w:bCs/>
          <w:lang w:val="en-US"/>
        </w:rPr>
        <w:t>around 0.15 % of the immune cell compartment in murine lung (</w:t>
      </w:r>
      <w:proofErr w:type="spellStart"/>
      <w:r w:rsidRPr="004167EE">
        <w:rPr>
          <w:rFonts w:ascii="Segoe UI" w:hAnsi="Segoe UI" w:cs="Segoe UI"/>
          <w:bCs/>
          <w:lang w:val="en-US"/>
        </w:rPr>
        <w:t>Sadeghalvad</w:t>
      </w:r>
      <w:proofErr w:type="spellEnd"/>
      <w:r w:rsidRPr="004167EE">
        <w:rPr>
          <w:rFonts w:ascii="Segoe UI" w:hAnsi="Segoe UI" w:cs="Segoe UI"/>
          <w:bCs/>
          <w:lang w:val="en-US"/>
        </w:rPr>
        <w:t xml:space="preserve"> et al. 2023)</w:t>
      </w:r>
      <w:r>
        <w:rPr>
          <w:rFonts w:ascii="Segoe UI" w:hAnsi="Segoe UI" w:cs="Segoe UI"/>
          <w:bCs/>
          <w:lang w:val="en-US"/>
        </w:rPr>
        <w:t xml:space="preserve">. </w:t>
      </w:r>
      <w:r w:rsidR="002F05DE">
        <w:rPr>
          <w:rFonts w:ascii="Segoe UI" w:hAnsi="Segoe UI" w:cs="Segoe UI"/>
          <w:bCs/>
          <w:lang w:val="en-US"/>
        </w:rPr>
        <w:t xml:space="preserve">Quantification of the ILC2s in </w:t>
      </w:r>
      <w:r w:rsidR="002F05DE">
        <w:rPr>
          <w:rFonts w:ascii="Segoe UI" w:hAnsi="Segoe UI" w:cs="Segoe UI"/>
          <w:bCs/>
          <w:lang w:val="en-US"/>
        </w:rPr>
        <w:t xml:space="preserve">our </w:t>
      </w:r>
      <w:r w:rsidR="002F05DE">
        <w:rPr>
          <w:rFonts w:ascii="Segoe UI" w:hAnsi="Segoe UI" w:cs="Segoe UI"/>
          <w:bCs/>
          <w:lang w:val="en-US"/>
        </w:rPr>
        <w:t xml:space="preserve">lung </w:t>
      </w:r>
      <w:r w:rsidR="002F05DE">
        <w:rPr>
          <w:rFonts w:ascii="Segoe UI" w:hAnsi="Segoe UI" w:cs="Segoe UI"/>
          <w:bCs/>
          <w:lang w:val="en-US"/>
        </w:rPr>
        <w:t xml:space="preserve">data </w:t>
      </w:r>
      <w:r w:rsidR="002F05DE">
        <w:rPr>
          <w:rFonts w:ascii="Segoe UI" w:hAnsi="Segoe UI" w:cs="Segoe UI"/>
          <w:bCs/>
          <w:lang w:val="en-US"/>
        </w:rPr>
        <w:t>resulted in a frequency of ILC2s of about 5 % within the immune compartment</w:t>
      </w:r>
      <w:r w:rsidR="002F05DE" w:rsidRPr="002F05DE">
        <w:rPr>
          <w:rFonts w:ascii="Segoe UI" w:hAnsi="Segoe UI" w:cs="Segoe UI"/>
          <w:bCs/>
          <w:lang w:val="en-US"/>
        </w:rPr>
        <w:t xml:space="preserve"> </w:t>
      </w:r>
      <w:r w:rsidR="002F05DE">
        <w:rPr>
          <w:rFonts w:ascii="Segoe UI" w:hAnsi="Segoe UI" w:cs="Segoe UI"/>
          <w:bCs/>
          <w:lang w:val="en-US"/>
        </w:rPr>
        <w:t>under healthy conditions.</w:t>
      </w:r>
      <w:r w:rsidR="002F05DE">
        <w:rPr>
          <w:rFonts w:ascii="Segoe UI" w:hAnsi="Segoe UI" w:cs="Segoe UI"/>
          <w:bCs/>
          <w:lang w:val="en-US"/>
        </w:rPr>
        <w:t xml:space="preserve"> This was much higher than expected. </w:t>
      </w:r>
      <w:r w:rsidR="00D47635">
        <w:rPr>
          <w:rFonts w:ascii="Segoe UI" w:hAnsi="Segoe UI" w:cs="Segoe UI"/>
          <w:bCs/>
          <w:lang w:val="en-US"/>
        </w:rPr>
        <w:t xml:space="preserve">Co-enrichment analysis and visual inspection showed that ILC2s localize in cell </w:t>
      </w:r>
      <w:r w:rsidR="00D93EEB">
        <w:rPr>
          <w:rFonts w:ascii="Segoe UI" w:hAnsi="Segoe UI" w:cs="Segoe UI"/>
          <w:bCs/>
          <w:lang w:val="en-US"/>
        </w:rPr>
        <w:t xml:space="preserve">accumulations. This leads to an increased micro-anatomical frequency of ILC2s and explains how rare cell types can have an important impact on the tissue scale. It also highlights the importance of spatially-resolved studies of cell in the tissue context as this information gets lost during dissociative procedures. </w:t>
      </w:r>
    </w:p>
    <w:p w14:paraId="6F1D9236" w14:textId="77777777" w:rsidR="007C5253" w:rsidRDefault="007C5253" w:rsidP="00852576">
      <w:pPr>
        <w:jc w:val="both"/>
        <w:rPr>
          <w:rFonts w:ascii="Segoe UI" w:hAnsi="Segoe UI" w:cs="Segoe UI"/>
          <w:bCs/>
          <w:lang w:val="en-US"/>
        </w:rPr>
      </w:pPr>
    </w:p>
    <w:p w14:paraId="7C8EF8AA" w14:textId="5C8C8CE6" w:rsidR="00852576" w:rsidRDefault="00852576" w:rsidP="00852576">
      <w:pPr>
        <w:jc w:val="both"/>
        <w:rPr>
          <w:rFonts w:ascii="Segoe UI" w:hAnsi="Segoe UI" w:cs="Segoe UI"/>
          <w:bCs/>
          <w:lang w:val="en-US"/>
        </w:rPr>
      </w:pPr>
      <w:r>
        <w:rPr>
          <w:rFonts w:ascii="Segoe UI" w:hAnsi="Segoe UI" w:cs="Segoe UI"/>
          <w:bCs/>
          <w:lang w:val="en-US"/>
        </w:rPr>
        <w:t>Our findings that point towards a functional niche of ILC2s, lymphatics, and myeloid cells also aligns with studies describing an interplay of lung ILC2s and lymphatics, where lung ILC2s stimulate lymphatics (but not blood endothelial cells) to upregulate CCL21 (via LIF-LIFR) providing a crucial migratory signal for CCR7</w:t>
      </w:r>
      <w:r w:rsidRPr="00A20477">
        <w:rPr>
          <w:rFonts w:ascii="Segoe UI" w:hAnsi="Segoe UI" w:cs="Segoe UI"/>
          <w:bCs/>
          <w:vertAlign w:val="superscript"/>
          <w:lang w:val="en-US"/>
        </w:rPr>
        <w:t>+</w:t>
      </w:r>
      <w:r>
        <w:rPr>
          <w:rFonts w:ascii="Segoe UI" w:hAnsi="Segoe UI" w:cs="Segoe UI"/>
          <w:bCs/>
          <w:lang w:val="en-US"/>
        </w:rPr>
        <w:t xml:space="preserve"> (the ligand of CCL21) immune cells (</w:t>
      </w:r>
      <w:r w:rsidRPr="00A20477">
        <w:rPr>
          <w:rFonts w:ascii="Segoe UI" w:hAnsi="Segoe UI" w:cs="Segoe UI"/>
          <w:bCs/>
          <w:highlight w:val="yellow"/>
          <w:lang w:val="en-US"/>
        </w:rPr>
        <w:t>Gogoi et. al, https://doi.org/10.1038/s41586-024-07746-w</w:t>
      </w:r>
      <w:r>
        <w:rPr>
          <w:rFonts w:ascii="Segoe UI" w:hAnsi="Segoe UI" w:cs="Segoe UI"/>
          <w:bCs/>
          <w:lang w:val="en-US"/>
        </w:rPr>
        <w:t xml:space="preserve">). </w:t>
      </w:r>
    </w:p>
    <w:p w14:paraId="13E68D18" w14:textId="77777777" w:rsidR="00852576" w:rsidRDefault="00852576" w:rsidP="00852576">
      <w:pPr>
        <w:jc w:val="both"/>
        <w:rPr>
          <w:rFonts w:ascii="Segoe UI" w:hAnsi="Segoe UI" w:cs="Segoe UI"/>
          <w:bCs/>
          <w:lang w:val="en-US"/>
        </w:rPr>
      </w:pPr>
      <w:r>
        <w:rPr>
          <w:rFonts w:ascii="Segoe UI" w:hAnsi="Segoe UI" w:cs="Segoe UI"/>
          <w:bCs/>
          <w:lang w:val="en-US"/>
        </w:rPr>
        <w:t>Interestingly, our findings show that while lung ILC2s reside in peri-lymphatic niches, identified NK cells/ILC1s from the lung did not localize close to lymphatics but are co-enriched with endothelial blood vessels that are marked by EMCN and CD31.</w:t>
      </w:r>
    </w:p>
    <w:p w14:paraId="0EBF8499" w14:textId="77777777" w:rsidR="00852576" w:rsidRDefault="00852576" w:rsidP="00852576">
      <w:pPr>
        <w:jc w:val="both"/>
        <w:rPr>
          <w:rFonts w:ascii="Segoe UI" w:hAnsi="Segoe UI" w:cs="Segoe UI"/>
          <w:bCs/>
          <w:lang w:val="en-US"/>
        </w:rPr>
      </w:pPr>
    </w:p>
    <w:p w14:paraId="644EA1DE" w14:textId="77777777" w:rsidR="00852576" w:rsidRDefault="00852576" w:rsidP="00852576">
      <w:pPr>
        <w:jc w:val="both"/>
        <w:rPr>
          <w:rFonts w:ascii="Segoe UI" w:hAnsi="Segoe UI" w:cs="Segoe UI"/>
          <w:bCs/>
          <w:lang w:val="en-US"/>
        </w:rPr>
      </w:pPr>
      <w:r>
        <w:rPr>
          <w:rFonts w:ascii="Segoe UI" w:hAnsi="Segoe UI" w:cs="Segoe UI"/>
          <w:bCs/>
          <w:lang w:val="en-US"/>
        </w:rPr>
        <w:t>Function NK cells/ILC1s vs function ILC2s</w:t>
      </w:r>
    </w:p>
    <w:p w14:paraId="37A4BC02" w14:textId="77777777" w:rsidR="00852576" w:rsidRDefault="00852576" w:rsidP="00852576">
      <w:pPr>
        <w:jc w:val="both"/>
        <w:rPr>
          <w:rFonts w:ascii="Segoe UI" w:hAnsi="Segoe UI" w:cs="Segoe UI"/>
          <w:bCs/>
          <w:lang w:val="en-US"/>
        </w:rPr>
      </w:pPr>
      <w:r>
        <w:rPr>
          <w:rFonts w:ascii="Segoe UI" w:hAnsi="Segoe UI" w:cs="Segoe UI"/>
          <w:bCs/>
          <w:lang w:val="en-US"/>
        </w:rPr>
        <w:t xml:space="preserve">  </w:t>
      </w:r>
    </w:p>
    <w:p w14:paraId="45CD63F4" w14:textId="77777777" w:rsidR="00852576" w:rsidRPr="00096AC6" w:rsidRDefault="00852576" w:rsidP="00852576">
      <w:pPr>
        <w:jc w:val="both"/>
        <w:rPr>
          <w:rFonts w:ascii="Segoe UI" w:hAnsi="Segoe UI" w:cs="Segoe UI"/>
          <w:bCs/>
          <w:lang w:val="en-US"/>
        </w:rPr>
      </w:pPr>
      <w:r>
        <w:rPr>
          <w:rFonts w:ascii="Segoe UI" w:hAnsi="Segoe UI" w:cs="Segoe UI"/>
          <w:bCs/>
          <w:lang w:val="en-US"/>
        </w:rPr>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et. al (</w:t>
      </w:r>
      <w:r w:rsidRPr="00455C52">
        <w:rPr>
          <w:rFonts w:ascii="Segoe UI" w:hAnsi="Segoe UI" w:cs="Segoe UI"/>
          <w:bCs/>
          <w:highlight w:val="yellow"/>
          <w:lang w:val="en-US"/>
        </w:rPr>
        <w:t xml:space="preserve">Pascual-Reguant et. al, </w:t>
      </w:r>
      <w:proofErr w:type="spellStart"/>
      <w:r w:rsidRPr="00455C52">
        <w:rPr>
          <w:rFonts w:ascii="Segoe UI" w:hAnsi="Segoe UI" w:cs="Segoe UI"/>
          <w:bCs/>
          <w:highlight w:val="yellow"/>
          <w:lang w:val="en-US"/>
        </w:rPr>
        <w:t>doi</w:t>
      </w:r>
      <w:proofErr w:type="spellEnd"/>
      <w:r w:rsidRPr="00455C52">
        <w:rPr>
          <w:rFonts w:ascii="Segoe UI" w:hAnsi="Segoe UI" w:cs="Segoe UI"/>
          <w:bCs/>
          <w:highlight w:val="yellow"/>
          <w:lang w:val="en-US"/>
        </w:rPr>
        <w:t xml:space="preserve">: </w:t>
      </w:r>
      <w:r w:rsidRPr="00455C52">
        <w:rPr>
          <w:rFonts w:ascii="Segoe UI" w:hAnsi="Segoe UI" w:cs="Segoe UI"/>
          <w:bCs/>
          <w:highlight w:val="yellow"/>
        </w:rPr>
        <w:t>https://doi.org/10.1038/s41467-021-21994-8</w:t>
      </w:r>
      <w:r>
        <w:rPr>
          <w:rFonts w:ascii="Segoe UI" w:hAnsi="Segoe UI" w:cs="Segoe UI"/>
          <w:bCs/>
          <w:lang w:val="en-US"/>
        </w:rPr>
        <w:t>). We acquired data of murine lung and SI from the same mice in order 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Pr>
          <w:rFonts w:ascii="Segoe UI" w:hAnsi="Segoe UI" w:cs="Segoe UI"/>
          <w:bCs/>
          <w:lang w:val="en-US"/>
        </w:rPr>
        <w:t xml:space="preserve">associated with the IL-33 induced systemic inflammation. </w:t>
      </w:r>
    </w:p>
    <w:p w14:paraId="73806F90" w14:textId="77777777" w:rsidR="00852576" w:rsidRDefault="00852576" w:rsidP="00852576">
      <w:pPr>
        <w:jc w:val="both"/>
        <w:rPr>
          <w:rFonts w:ascii="Segoe UI" w:hAnsi="Segoe UI" w:cs="Segoe UI"/>
          <w:bCs/>
          <w:lang w:val="en-US"/>
        </w:rPr>
      </w:pPr>
    </w:p>
    <w:p w14:paraId="2144E50B" w14:textId="77777777" w:rsidR="00852576" w:rsidRDefault="00852576" w:rsidP="00852576">
      <w:pPr>
        <w:jc w:val="both"/>
        <w:rPr>
          <w:rFonts w:ascii="Segoe UI" w:hAnsi="Segoe UI" w:cs="Segoe UI"/>
          <w:bCs/>
          <w:lang w:val="en-US"/>
        </w:rPr>
      </w:pPr>
      <w:commentRangeStart w:id="9"/>
      <w:r>
        <w:rPr>
          <w:rFonts w:ascii="Segoe UI" w:hAnsi="Segoe UI" w:cs="Segoe UI"/>
          <w:bCs/>
          <w:lang w:val="en-US"/>
        </w:rPr>
        <w:t>ILC2s in the GI Dahlgren et. al</w:t>
      </w:r>
      <w:commentRangeEnd w:id="9"/>
      <w:r>
        <w:rPr>
          <w:rStyle w:val="Kommentarzeichen"/>
        </w:rPr>
        <w:commentReference w:id="9"/>
      </w:r>
    </w:p>
    <w:p w14:paraId="6B13A90A" w14:textId="77777777" w:rsidR="00852576" w:rsidRDefault="00852576" w:rsidP="00852576">
      <w:pPr>
        <w:jc w:val="both"/>
        <w:rPr>
          <w:rFonts w:ascii="Segoe UI" w:hAnsi="Segoe UI" w:cs="Segoe UI"/>
          <w:bCs/>
          <w:lang w:val="en-US"/>
        </w:rPr>
      </w:pPr>
    </w:p>
    <w:p w14:paraId="6C48E0DD" w14:textId="77777777" w:rsidR="00852576" w:rsidRPr="003B4C23" w:rsidRDefault="00852576" w:rsidP="00852576">
      <w:pPr>
        <w:jc w:val="both"/>
        <w:rPr>
          <w:rFonts w:ascii="Segoe UI" w:hAnsi="Segoe UI" w:cs="Segoe UI"/>
          <w:lang w:val="en-US"/>
        </w:rPr>
      </w:pPr>
      <w:r w:rsidRPr="003B4C23">
        <w:rPr>
          <w:rFonts w:ascii="Segoe UI" w:hAnsi="Segoe UI" w:cs="Segoe UI"/>
          <w:lang w:val="en-US"/>
        </w:rPr>
        <w:t xml:space="preserve">Epithelial cluster expresses </w:t>
      </w:r>
      <w:proofErr w:type="spellStart"/>
      <w:r w:rsidRPr="003B4C23">
        <w:rPr>
          <w:rFonts w:ascii="Segoe UI" w:hAnsi="Segoe UI" w:cs="Segoe UI"/>
          <w:lang w:val="en-US"/>
        </w:rPr>
        <w:t>EpCAM</w:t>
      </w:r>
      <w:proofErr w:type="spellEnd"/>
      <w:r w:rsidRPr="003B4C23">
        <w:rPr>
          <w:rFonts w:ascii="Segoe UI" w:hAnsi="Segoe UI" w:cs="Segoe UI"/>
          <w:lang w:val="en-US"/>
        </w:rPr>
        <w:t xml:space="preserve"> and CD138. </w:t>
      </w:r>
      <w:commentRangeStart w:id="10"/>
      <w:r w:rsidRPr="003B4C23">
        <w:rPr>
          <w:rFonts w:ascii="Segoe UI" w:hAnsi="Segoe UI" w:cs="Segoe UI"/>
          <w:lang w:val="en-US"/>
        </w:rPr>
        <w:t xml:space="preserve">CD138 in murine lung can be expressed by epithelial cells </w:t>
      </w:r>
      <w:commentRangeEnd w:id="10"/>
      <w:r w:rsidRPr="003B4C23">
        <w:rPr>
          <w:rStyle w:val="Kommentarzeichen"/>
          <w:lang w:val="en-US"/>
        </w:rPr>
        <w:commentReference w:id="10"/>
      </w:r>
    </w:p>
    <w:p w14:paraId="097E09A1" w14:textId="77777777" w:rsidR="00852576" w:rsidRPr="00BF7639" w:rsidRDefault="00852576" w:rsidP="0036111A">
      <w:pPr>
        <w:jc w:val="both"/>
        <w:rPr>
          <w:rFonts w:ascii="Segoe UI" w:hAnsi="Segoe UI" w:cs="Segoe UI"/>
          <w:bCs/>
          <w:lang w:val="en-US"/>
        </w:rPr>
      </w:pPr>
    </w:p>
    <w:p w14:paraId="584362FB" w14:textId="4F61085E" w:rsidR="0036111A" w:rsidRPr="0036111A" w:rsidRDefault="0036111A" w:rsidP="0036111A">
      <w:pPr>
        <w:jc w:val="both"/>
        <w:rPr>
          <w:rFonts w:ascii="Segoe UI" w:hAnsi="Segoe UI" w:cs="Segoe UI"/>
          <w:b/>
          <w:bCs/>
          <w:lang w:val="en-US"/>
        </w:rPr>
      </w:pPr>
      <w:r w:rsidRPr="0036111A">
        <w:rPr>
          <w:rFonts w:ascii="Segoe UI" w:hAnsi="Segoe UI" w:cs="Segoe UI"/>
          <w:b/>
          <w:bCs/>
          <w:lang w:val="en-US"/>
        </w:rPr>
        <w:t xml:space="preserve">    4. Addressing limitations—their potential impact on the results</w:t>
      </w:r>
    </w:p>
    <w:p w14:paraId="2C392E9F" w14:textId="41631322" w:rsidR="0036111A" w:rsidRP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t xml:space="preserve">    6. Conclusion—summarize content</w:t>
      </w:r>
    </w:p>
    <w:p w14:paraId="4C20BBF4" w14:textId="77777777" w:rsidR="002768A6" w:rsidRPr="00CC3CA1" w:rsidRDefault="002768A6" w:rsidP="005A3A2F">
      <w:pPr>
        <w:jc w:val="both"/>
        <w:rPr>
          <w:rFonts w:ascii="Segoe UI" w:hAnsi="Segoe UI" w:cs="Segoe UI"/>
          <w:bCs/>
          <w:lang w:val="en-US"/>
        </w:rPr>
      </w:pPr>
    </w:p>
    <w:p w14:paraId="2D481694" w14:textId="77777777" w:rsidR="00B83D82" w:rsidRPr="003B4C23" w:rsidRDefault="00B83D82" w:rsidP="005A3A2F">
      <w:pPr>
        <w:jc w:val="both"/>
        <w:rPr>
          <w:rFonts w:ascii="Segoe UI" w:hAnsi="Segoe UI" w:cs="Segoe UI"/>
          <w:b/>
          <w:bCs/>
          <w:lang w:val="en-US"/>
        </w:rPr>
      </w:pPr>
    </w:p>
    <w:p w14:paraId="0E4503BA" w14:textId="77777777" w:rsidR="00CA726A" w:rsidRPr="003B4C23" w:rsidRDefault="00CA726A" w:rsidP="005A3A2F">
      <w:pPr>
        <w:jc w:val="both"/>
        <w:rPr>
          <w:rFonts w:ascii="Segoe UI" w:hAnsi="Segoe UI" w:cs="Segoe UI"/>
          <w:b/>
          <w:bCs/>
          <w:lang w:val="en-US"/>
        </w:rPr>
      </w:pPr>
    </w:p>
    <w:p w14:paraId="43630773" w14:textId="76575877" w:rsidR="00B83D82" w:rsidRPr="003B4C23" w:rsidRDefault="00FB6177" w:rsidP="005A3A2F">
      <w:pPr>
        <w:jc w:val="both"/>
        <w:rPr>
          <w:rFonts w:ascii="Segoe UI" w:hAnsi="Segoe UI" w:cs="Segoe UI"/>
          <w:b/>
          <w:bCs/>
          <w:lang w:val="en-US"/>
        </w:rPr>
      </w:pPr>
      <w:r w:rsidRPr="003B4C23">
        <w:rPr>
          <w:rFonts w:ascii="Segoe UI" w:hAnsi="Segoe UI" w:cs="Segoe UI"/>
          <w:b/>
          <w:bCs/>
          <w:lang w:val="en-US"/>
        </w:rPr>
        <w:t>Data Limitations and Perspectives (maximum 250 words)</w:t>
      </w:r>
    </w:p>
    <w:p w14:paraId="29BD6B69" w14:textId="7BE04181" w:rsidR="00B83D82" w:rsidRDefault="00CC3CA1" w:rsidP="005A3A2F">
      <w:pPr>
        <w:jc w:val="both"/>
        <w:rPr>
          <w:rFonts w:ascii="Segoe UI" w:hAnsi="Segoe UI" w:cs="Segoe UI"/>
          <w:bCs/>
          <w:lang w:val="en-US"/>
        </w:rPr>
      </w:pPr>
      <w:r>
        <w:rPr>
          <w:rFonts w:ascii="Segoe UI" w:hAnsi="Segoe UI" w:cs="Segoe UI"/>
          <w:bCs/>
          <w:lang w:val="en-US"/>
        </w:rPr>
        <w:t>Number of animals and area</w:t>
      </w:r>
    </w:p>
    <w:p w14:paraId="52C6BCCF" w14:textId="77777777" w:rsidR="00D96ADB" w:rsidRDefault="00D96ADB" w:rsidP="005A3A2F">
      <w:pPr>
        <w:jc w:val="both"/>
        <w:rPr>
          <w:rFonts w:ascii="Segoe UI" w:hAnsi="Segoe UI" w:cs="Segoe UI"/>
          <w:bCs/>
          <w:lang w:val="en-US"/>
        </w:rPr>
      </w:pPr>
    </w:p>
    <w:p w14:paraId="28184057" w14:textId="1C62CD13" w:rsidR="00D96ADB" w:rsidRPr="003B4C23" w:rsidRDefault="00D96ADB" w:rsidP="005A3A2F">
      <w:pPr>
        <w:jc w:val="both"/>
        <w:rPr>
          <w:rFonts w:ascii="Segoe UI" w:hAnsi="Segoe UI" w:cs="Segoe UI"/>
          <w:bCs/>
          <w:lang w:val="en-US"/>
        </w:rPr>
      </w:pPr>
      <w:r>
        <w:rPr>
          <w:rFonts w:ascii="Segoe UI" w:hAnsi="Segoe UI" w:cs="Segoe UI"/>
          <w:bCs/>
          <w:lang w:val="en-US"/>
        </w:rPr>
        <w:t xml:space="preserve">Working with imaging-based data several challenges compared to dissociative methods such as single cell-sequencing or flow cytometry. </w:t>
      </w:r>
    </w:p>
    <w:p w14:paraId="7C11B727" w14:textId="1E6A12D3" w:rsidR="007C62D0" w:rsidRDefault="007C62D0" w:rsidP="007C62D0">
      <w:pPr>
        <w:pStyle w:val="Listenabsatz"/>
        <w:numPr>
          <w:ilvl w:val="0"/>
          <w:numId w:val="3"/>
        </w:numPr>
        <w:jc w:val="both"/>
        <w:rPr>
          <w:rFonts w:ascii="Segoe UI" w:hAnsi="Segoe UI" w:cs="Segoe UI"/>
          <w:bCs/>
          <w:lang w:val="en-US"/>
        </w:rPr>
      </w:pPr>
      <w:r w:rsidRPr="003B4C23">
        <w:rPr>
          <w:rFonts w:ascii="Segoe UI" w:hAnsi="Segoe UI" w:cs="Segoe UI"/>
          <w:bCs/>
          <w:lang w:val="en-US"/>
        </w:rPr>
        <w:t>Segmentation</w:t>
      </w:r>
    </w:p>
    <w:p w14:paraId="0680C47F" w14:textId="5CE18A0D" w:rsidR="009E0CC6" w:rsidRPr="003B4C23" w:rsidRDefault="009E0CC6" w:rsidP="007C62D0">
      <w:pPr>
        <w:pStyle w:val="Listenabsatz"/>
        <w:numPr>
          <w:ilvl w:val="0"/>
          <w:numId w:val="3"/>
        </w:numPr>
        <w:jc w:val="both"/>
        <w:rPr>
          <w:rFonts w:ascii="Segoe UI" w:hAnsi="Segoe UI" w:cs="Segoe UI"/>
          <w:bCs/>
          <w:lang w:val="en-US"/>
        </w:rPr>
      </w:pPr>
      <w:r>
        <w:rPr>
          <w:rFonts w:ascii="Segoe UI" w:hAnsi="Segoe UI" w:cs="Segoe UI"/>
          <w:bCs/>
          <w:lang w:val="en-US"/>
        </w:rPr>
        <w:t xml:space="preserve">Spatial cross contamination </w:t>
      </w:r>
    </w:p>
    <w:p w14:paraId="7E31F422" w14:textId="4314019C" w:rsidR="007C62D0" w:rsidRDefault="007C62D0" w:rsidP="007C62D0">
      <w:pPr>
        <w:pStyle w:val="Listenabsatz"/>
        <w:numPr>
          <w:ilvl w:val="0"/>
          <w:numId w:val="3"/>
        </w:numPr>
        <w:jc w:val="both"/>
        <w:rPr>
          <w:rFonts w:ascii="Segoe UI" w:hAnsi="Segoe UI" w:cs="Segoe UI"/>
          <w:bCs/>
          <w:lang w:val="en-US"/>
        </w:rPr>
      </w:pPr>
      <w:r w:rsidRPr="003B4C23">
        <w:rPr>
          <w:rFonts w:ascii="Segoe UI" w:hAnsi="Segoe UI" w:cs="Segoe UI"/>
          <w:bCs/>
          <w:lang w:val="en-US"/>
        </w:rPr>
        <w:t>Analysis time</w:t>
      </w:r>
    </w:p>
    <w:p w14:paraId="6375107A" w14:textId="5792CBDA" w:rsidR="00856522" w:rsidRPr="003B4C23" w:rsidRDefault="00856522" w:rsidP="007C62D0">
      <w:pPr>
        <w:pStyle w:val="Listenabsatz"/>
        <w:numPr>
          <w:ilvl w:val="0"/>
          <w:numId w:val="3"/>
        </w:numPr>
        <w:jc w:val="both"/>
        <w:rPr>
          <w:rFonts w:ascii="Segoe UI" w:hAnsi="Segoe UI" w:cs="Segoe UI"/>
          <w:bCs/>
          <w:lang w:val="en-US"/>
        </w:rPr>
      </w:pPr>
      <w:r>
        <w:rPr>
          <w:rFonts w:ascii="Segoe UI" w:hAnsi="Segoe UI" w:cs="Segoe UI"/>
          <w:bCs/>
          <w:lang w:val="en-US"/>
        </w:rPr>
        <w:t xml:space="preserve">Clustering of cells </w:t>
      </w:r>
      <w:r w:rsidRPr="00856522">
        <w:rPr>
          <w:rFonts w:ascii="Segoe UI" w:hAnsi="Segoe UI" w:cs="Segoe UI"/>
          <w:bCs/>
          <w:lang w:val="en-US"/>
        </w:rPr>
        <w:sym w:font="Wingdings" w:char="F0E0"/>
      </w:r>
      <w:r>
        <w:rPr>
          <w:rFonts w:ascii="Segoe UI" w:hAnsi="Segoe UI" w:cs="Segoe UI"/>
          <w:bCs/>
          <w:lang w:val="en-US"/>
        </w:rPr>
        <w:t xml:space="preserve"> it is not possible to check every marker as in flow and set strict gates</w:t>
      </w:r>
    </w:p>
    <w:p w14:paraId="3B1B8505" w14:textId="509D1637" w:rsidR="007C62D0" w:rsidRDefault="00CC3CA1" w:rsidP="005A3A2F">
      <w:pPr>
        <w:jc w:val="both"/>
        <w:rPr>
          <w:rFonts w:ascii="Segoe UI" w:hAnsi="Segoe UI" w:cs="Segoe UI"/>
          <w:bCs/>
          <w:lang w:val="en-US"/>
        </w:rPr>
      </w:pPr>
      <w:r>
        <w:rPr>
          <w:rFonts w:ascii="Segoe UI" w:hAnsi="Segoe UI" w:cs="Segoe UI"/>
          <w:bCs/>
          <w:lang w:val="en-US"/>
        </w:rPr>
        <w:t xml:space="preserve">It was not possible to establish working stainings of cytokines. </w:t>
      </w:r>
    </w:p>
    <w:p w14:paraId="6D3F179A" w14:textId="635F9A2C" w:rsidR="00CC3CA1" w:rsidRDefault="00CC3CA1" w:rsidP="005A3A2F">
      <w:pPr>
        <w:jc w:val="both"/>
        <w:rPr>
          <w:rFonts w:ascii="Segoe UI" w:hAnsi="Segoe UI" w:cs="Segoe UI"/>
          <w:bCs/>
          <w:lang w:val="en-US"/>
        </w:rPr>
      </w:pPr>
      <w:r>
        <w:rPr>
          <w:rFonts w:ascii="Segoe UI" w:hAnsi="Segoe UI" w:cs="Segoe UI"/>
          <w:bCs/>
          <w:lang w:val="en-US"/>
        </w:rPr>
        <w:t xml:space="preserve">Spatial transcriptomics methods </w:t>
      </w:r>
      <w:r w:rsidRPr="00CC3CA1">
        <w:rPr>
          <w:rFonts w:ascii="Segoe UI" w:hAnsi="Segoe UI" w:cs="Segoe UI"/>
          <w:bCs/>
          <w:lang w:val="en-US"/>
        </w:rPr>
        <w:sym w:font="Wingdings" w:char="F0E0"/>
      </w:r>
      <w:r>
        <w:rPr>
          <w:rFonts w:ascii="Segoe UI" w:hAnsi="Segoe UI" w:cs="Segoe UI"/>
          <w:bCs/>
          <w:lang w:val="en-US"/>
        </w:rPr>
        <w:t xml:space="preserve"> single cell resolution and identification of rare cell types</w:t>
      </w:r>
    </w:p>
    <w:p w14:paraId="02C4EED2" w14:textId="77777777" w:rsidR="00CC3CA1" w:rsidRPr="003B4C23" w:rsidRDefault="00CC3CA1" w:rsidP="005A3A2F">
      <w:pPr>
        <w:jc w:val="both"/>
        <w:rPr>
          <w:rFonts w:ascii="Segoe UI" w:hAnsi="Segoe UI" w:cs="Segoe UI"/>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w:t>
      </w:r>
      <w:r w:rsidR="007D7E2C">
        <w:rPr>
          <w:rFonts w:ascii="Segoe UI" w:hAnsi="Segoe UI" w:cs="Segoe UI"/>
          <w:sz w:val="20"/>
          <w:szCs w:val="20"/>
          <w:lang w:val="en-US"/>
        </w:rPr>
        <w:t xml:space="preserve"> (</w:t>
      </w:r>
      <w:proofErr w:type="spellStart"/>
      <w:r w:rsidR="007D7E2C">
        <w:rPr>
          <w:rFonts w:ascii="Segoe UI" w:hAnsi="Segoe UI" w:cs="Segoe UI"/>
          <w:sz w:val="20"/>
          <w:szCs w:val="20"/>
          <w:lang w:val="en-US"/>
        </w:rPr>
        <w:t>LaGeSo</w:t>
      </w:r>
      <w:proofErr w:type="spellEnd"/>
      <w:r w:rsidR="007D7E2C">
        <w:rPr>
          <w:rFonts w:ascii="Segoe UI" w:hAnsi="Segoe UI" w:cs="Segoe UI"/>
          <w:sz w:val="20"/>
          <w:szCs w:val="20"/>
          <w:lang w:val="en-US"/>
        </w:rPr>
        <w:t>)</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55 ± 10%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t>
      </w:r>
      <w:r w:rsidR="007C62D0" w:rsidRPr="003B4C23">
        <w:rPr>
          <w:rFonts w:ascii="Segoe UI" w:hAnsi="Segoe UI" w:cs="Segoe UI"/>
          <w:sz w:val="20"/>
          <w:szCs w:val="20"/>
          <w:lang w:val="en-US"/>
        </w:rPr>
        <w:lastRenderedPageBreak/>
        <w:t xml:space="preserve">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weighted on a daily basis.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discarded and the samples were put into 30 % sucrose solution for 6 to 12 hours at 4 °C. Lung samples were prepared by inflating the lungs through the trachea with 1:2 </w:t>
      </w:r>
      <w:proofErr w:type="spellStart"/>
      <w:r w:rsidRPr="003B4C23">
        <w:rPr>
          <w:rFonts w:ascii="Segoe UI" w:hAnsi="Segoe UI" w:cs="Segoe UI"/>
          <w:sz w:val="20"/>
          <w:szCs w:val="20"/>
          <w:lang w:val="en-US"/>
        </w:rPr>
        <w:t>PBS:Tissue-Tek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w:t>
      </w:r>
      <w:r w:rsidRPr="003B4C23">
        <w:rPr>
          <w:rFonts w:ascii="Segoe UI" w:hAnsi="Segoe UI" w:cs="Segoe UI"/>
          <w:bCs/>
          <w:lang w:val="en-US"/>
        </w:rPr>
        <w:lastRenderedPageBreak/>
        <w:t xml:space="preserve">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was located in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w:t>
      </w:r>
      <w:r w:rsidRPr="003B4C23">
        <w:rPr>
          <w:rFonts w:ascii="Segoe UI" w:hAnsi="Segoe UI" w:cs="Segoe UI"/>
          <w:bCs/>
          <w:lang w:val="en-US"/>
        </w:rPr>
        <w:lastRenderedPageBreak/>
        <w:t xml:space="preserve">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2"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13"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thank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helpful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23B7B13A"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MELK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6-16T10:58:00Z" w:initials="SK">
    <w:p w14:paraId="2FCF33A2" w14:textId="77777777" w:rsidR="00B040D9" w:rsidRDefault="00B040D9" w:rsidP="00B040D9">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3" w:author="Kroh, Sandy" w:date="2025-05-20T14:56:00Z" w:initials="SK">
    <w:p w14:paraId="67E62104" w14:textId="5185042F" w:rsidR="00DC45E1" w:rsidRDefault="00DC45E1" w:rsidP="00DC45E1">
      <w:pPr>
        <w:pStyle w:val="Kommentartext"/>
      </w:pPr>
      <w:r>
        <w:rPr>
          <w:rStyle w:val="Kommentarzeichen"/>
        </w:rPr>
        <w:annotationRef/>
      </w:r>
      <w:r>
        <w:t>Add here that we also to establish ST2 and IL-25R?</w:t>
      </w:r>
    </w:p>
  </w:comment>
  <w:comment w:id="5"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6" w:author="Kroh, Sandy" w:date="2025-06-16T10:08:00Z" w:initials="SK">
    <w:p w14:paraId="42E75E6B" w14:textId="77777777"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7"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8"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9" w:author="Kroh, Sandy" w:date="2025-06-16T09:45:00Z" w:initials="SK">
    <w:p w14:paraId="073BAF27" w14:textId="77777777" w:rsidR="00852576" w:rsidRDefault="00852576" w:rsidP="00852576">
      <w:pPr>
        <w:pStyle w:val="Kommentartext"/>
      </w:pPr>
      <w:r>
        <w:rPr>
          <w:rStyle w:val="Kommentarzeichen"/>
        </w:rPr>
        <w:annotationRef/>
      </w:r>
      <w:r>
        <w:t>As expected, GI ILC2s localized to the lamina propria in adult mice (</w:t>
      </w:r>
      <w:hyperlink r:id="rId1" w:history="1">
        <w:r w:rsidRPr="00E16888">
          <w:rPr>
            <w:rStyle w:val="Hyperlink"/>
          </w:rPr>
          <w:t>Figures S2</w:t>
        </w:r>
      </w:hyperlink>
      <w:r>
        <w:t>A and S2B). Skin ILC2s localized to epithelial areas in proximity to hair follicles (</w:t>
      </w:r>
      <w:hyperlink r:id="rId2" w:history="1">
        <w:r w:rsidRPr="00E16888">
          <w:rPr>
            <w:rStyle w:val="Hyperlink"/>
          </w:rPr>
          <w:t>Figure S2</w:t>
        </w:r>
      </w:hyperlink>
      <w:r>
        <w:t>C). In SLOs (lymph nodes and Peyer’s patches), rare ILC2s localized to capsular, interfollicular, and medullary regions (</w:t>
      </w:r>
      <w:hyperlink r:id="rId3" w:history="1">
        <w:r w:rsidRPr="00E16888">
          <w:rPr>
            <w:rStyle w:val="Hyperlink"/>
          </w:rPr>
          <w:t>Figures S2</w:t>
        </w:r>
      </w:hyperlink>
      <w:r>
        <w:t xml:space="preserve">D and S2E). </w:t>
      </w:r>
    </w:p>
  </w:comment>
  <w:comment w:id="10" w:author="Kroh, Sandy" w:date="2025-05-20T11:34:00Z" w:initials="SK">
    <w:p w14:paraId="17BB1C06" w14:textId="77777777" w:rsidR="00852576" w:rsidRDefault="00852576" w:rsidP="00852576">
      <w:pPr>
        <w:pStyle w:val="Kommentartext"/>
      </w:pPr>
      <w:r>
        <w:rPr>
          <w:rStyle w:val="Kommentarzeichen"/>
        </w:rPr>
        <w:annotationRef/>
      </w:r>
      <w:r>
        <w:t>„</w:t>
      </w:r>
      <w:r>
        <w:rPr>
          <w:b/>
          <w:bCs/>
        </w:rPr>
        <w:t>Lung had diffuse CD138 immunostaining of airway surface epithelium and alveolar type 2 and 1 epithelial cells</w:t>
      </w:r>
    </w:p>
    <w:p w14:paraId="002ED625" w14:textId="77777777" w:rsidR="00852576" w:rsidRDefault="00852576" w:rsidP="00852576">
      <w:pPr>
        <w:pStyle w:val="Kommentartext"/>
      </w:pPr>
      <w:r>
        <w:t>“</w:t>
      </w:r>
    </w:p>
    <w:p w14:paraId="1FD9F341" w14:textId="77777777" w:rsidR="00852576" w:rsidRDefault="00852576" w:rsidP="00852576">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CF33A2" w15:done="0"/>
  <w15:commentEx w15:paraId="67E62104" w15:done="0"/>
  <w15:commentEx w15:paraId="482033BC" w15:done="0"/>
  <w15:commentEx w15:paraId="42E75E6B" w15:done="0"/>
  <w15:commentEx w15:paraId="411E0A82" w15:done="0"/>
  <w15:commentEx w15:paraId="3885FCB0" w15:done="0"/>
  <w15:commentEx w15:paraId="073BAF27" w15:done="0"/>
  <w15:commentEx w15:paraId="1FD9F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389DE6" w16cex:dateUtc="2025-06-16T08:58:00Z"/>
  <w16cex:commentExtensible w16cex:durableId="3DCFB928" w16cex:dateUtc="2025-05-20T12:56:00Z"/>
  <w16cex:commentExtensible w16cex:durableId="2D7F68E9" w16cex:dateUtc="2025-05-30T11:37:00Z"/>
  <w16cex:commentExtensible w16cex:durableId="118B73E4" w16cex:dateUtc="2025-06-16T08:08:00Z"/>
  <w16cex:commentExtensible w16cex:durableId="1F412BD9" w16cex:dateUtc="2025-06-16T09:10:00Z"/>
  <w16cex:commentExtensible w16cex:durableId="2BEAD0E3" w16cex:dateUtc="2025-06-16T09:10:00Z"/>
  <w16cex:commentExtensible w16cex:durableId="0CB7BBD6" w16cex:dateUtc="2025-06-16T07:45:00Z"/>
  <w16cex:commentExtensible w16cex:durableId="33B1ADB3" w16cex:dateUtc="2025-05-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CF33A2" w16cid:durableId="4E389DE6"/>
  <w16cid:commentId w16cid:paraId="67E62104" w16cid:durableId="3DCFB928"/>
  <w16cid:commentId w16cid:paraId="482033BC" w16cid:durableId="2D7F68E9"/>
  <w16cid:commentId w16cid:paraId="42E75E6B" w16cid:durableId="118B73E4"/>
  <w16cid:commentId w16cid:paraId="411E0A82" w16cid:durableId="1F412BD9"/>
  <w16cid:commentId w16cid:paraId="3885FCB0" w16cid:durableId="2BEAD0E3"/>
  <w16cid:commentId w16cid:paraId="073BAF27" w16cid:durableId="0CB7BBD6"/>
  <w16cid:commentId w16cid:paraId="1FD9F341" w16cid:durableId="33B1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8A0E2" w14:textId="77777777" w:rsidR="00B005DC" w:rsidRDefault="00B005DC" w:rsidP="00E521BA">
      <w:pPr>
        <w:spacing w:after="0" w:line="240" w:lineRule="auto"/>
      </w:pPr>
      <w:r>
        <w:separator/>
      </w:r>
    </w:p>
  </w:endnote>
  <w:endnote w:type="continuationSeparator" w:id="0">
    <w:p w14:paraId="1820BA92" w14:textId="77777777" w:rsidR="00B005DC" w:rsidRDefault="00B005DC" w:rsidP="00E521BA">
      <w:pPr>
        <w:spacing w:after="0" w:line="240" w:lineRule="auto"/>
      </w:pPr>
      <w:r>
        <w:continuationSeparator/>
      </w:r>
    </w:p>
  </w:endnote>
  <w:endnote w:type="continuationNotice" w:id="1">
    <w:p w14:paraId="7AAC3C1D" w14:textId="77777777" w:rsidR="00B005DC" w:rsidRDefault="00B005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E1A57" w14:textId="77777777" w:rsidR="00B005DC" w:rsidRDefault="00B005DC" w:rsidP="00E521BA">
      <w:pPr>
        <w:spacing w:after="0" w:line="240" w:lineRule="auto"/>
      </w:pPr>
      <w:r>
        <w:separator/>
      </w:r>
    </w:p>
  </w:footnote>
  <w:footnote w:type="continuationSeparator" w:id="0">
    <w:p w14:paraId="067AFF18" w14:textId="77777777" w:rsidR="00B005DC" w:rsidRDefault="00B005DC" w:rsidP="00E521BA">
      <w:pPr>
        <w:spacing w:after="0" w:line="240" w:lineRule="auto"/>
      </w:pPr>
      <w:r>
        <w:continuationSeparator/>
      </w:r>
    </w:p>
  </w:footnote>
  <w:footnote w:type="continuationNotice" w:id="1">
    <w:p w14:paraId="00BE471C" w14:textId="77777777" w:rsidR="00B005DC" w:rsidRDefault="00B005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2"/>
  </w:num>
  <w:num w:numId="2" w16cid:durableId="1250457462">
    <w:abstractNumId w:val="1"/>
  </w:num>
  <w:num w:numId="3" w16cid:durableId="137418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44B2"/>
    <w:rsid w:val="00054C4C"/>
    <w:rsid w:val="000551EC"/>
    <w:rsid w:val="000568F7"/>
    <w:rsid w:val="00056B30"/>
    <w:rsid w:val="00056F9A"/>
    <w:rsid w:val="000606FE"/>
    <w:rsid w:val="00060A1C"/>
    <w:rsid w:val="00063819"/>
    <w:rsid w:val="00063DC7"/>
    <w:rsid w:val="000646D0"/>
    <w:rsid w:val="00065B3E"/>
    <w:rsid w:val="00066945"/>
    <w:rsid w:val="00070C34"/>
    <w:rsid w:val="0007122A"/>
    <w:rsid w:val="00071E37"/>
    <w:rsid w:val="00072052"/>
    <w:rsid w:val="000743CC"/>
    <w:rsid w:val="00075213"/>
    <w:rsid w:val="00080E6A"/>
    <w:rsid w:val="00082DF8"/>
    <w:rsid w:val="00084544"/>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1139"/>
    <w:rsid w:val="000A1601"/>
    <w:rsid w:val="000A375E"/>
    <w:rsid w:val="000A46BE"/>
    <w:rsid w:val="000A66F3"/>
    <w:rsid w:val="000A7B82"/>
    <w:rsid w:val="000B07A6"/>
    <w:rsid w:val="000B0BB6"/>
    <w:rsid w:val="000B0C9F"/>
    <w:rsid w:val="000B1B11"/>
    <w:rsid w:val="000B1F98"/>
    <w:rsid w:val="000B75DE"/>
    <w:rsid w:val="000C0A60"/>
    <w:rsid w:val="000C0F19"/>
    <w:rsid w:val="000C153A"/>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3A4A"/>
    <w:rsid w:val="00105AB7"/>
    <w:rsid w:val="0010789D"/>
    <w:rsid w:val="001107E6"/>
    <w:rsid w:val="00111F71"/>
    <w:rsid w:val="0011350A"/>
    <w:rsid w:val="0011455F"/>
    <w:rsid w:val="00116C6E"/>
    <w:rsid w:val="00117765"/>
    <w:rsid w:val="00117773"/>
    <w:rsid w:val="001179CC"/>
    <w:rsid w:val="00117E05"/>
    <w:rsid w:val="00117F59"/>
    <w:rsid w:val="00123273"/>
    <w:rsid w:val="0012488D"/>
    <w:rsid w:val="0012723B"/>
    <w:rsid w:val="00127259"/>
    <w:rsid w:val="00130BA6"/>
    <w:rsid w:val="001310BD"/>
    <w:rsid w:val="00132903"/>
    <w:rsid w:val="00132C4E"/>
    <w:rsid w:val="00132FD1"/>
    <w:rsid w:val="00134066"/>
    <w:rsid w:val="001360DE"/>
    <w:rsid w:val="001415B7"/>
    <w:rsid w:val="001423DE"/>
    <w:rsid w:val="00143985"/>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C3F"/>
    <w:rsid w:val="001864E0"/>
    <w:rsid w:val="00186A6E"/>
    <w:rsid w:val="00186BE0"/>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490A"/>
    <w:rsid w:val="001B5DC9"/>
    <w:rsid w:val="001B5F15"/>
    <w:rsid w:val="001B6A7F"/>
    <w:rsid w:val="001B7282"/>
    <w:rsid w:val="001B7815"/>
    <w:rsid w:val="001C1180"/>
    <w:rsid w:val="001C1C8F"/>
    <w:rsid w:val="001C2FCD"/>
    <w:rsid w:val="001C568C"/>
    <w:rsid w:val="001C6F05"/>
    <w:rsid w:val="001C7528"/>
    <w:rsid w:val="001C76AC"/>
    <w:rsid w:val="001D4585"/>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AC0"/>
    <w:rsid w:val="002842FB"/>
    <w:rsid w:val="002858A0"/>
    <w:rsid w:val="002872E9"/>
    <w:rsid w:val="002904CB"/>
    <w:rsid w:val="002923D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60FE"/>
    <w:rsid w:val="002D6430"/>
    <w:rsid w:val="002D7992"/>
    <w:rsid w:val="002D7EEF"/>
    <w:rsid w:val="002E04E5"/>
    <w:rsid w:val="002E316E"/>
    <w:rsid w:val="002E351E"/>
    <w:rsid w:val="002E3BED"/>
    <w:rsid w:val="002E50FE"/>
    <w:rsid w:val="002E5AD7"/>
    <w:rsid w:val="002E5D2D"/>
    <w:rsid w:val="002E6A02"/>
    <w:rsid w:val="002F0197"/>
    <w:rsid w:val="002F05DE"/>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44C0"/>
    <w:rsid w:val="003159A2"/>
    <w:rsid w:val="00320257"/>
    <w:rsid w:val="003226F7"/>
    <w:rsid w:val="0032493D"/>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5127"/>
    <w:rsid w:val="0036005C"/>
    <w:rsid w:val="00360659"/>
    <w:rsid w:val="00360F6E"/>
    <w:rsid w:val="0036111A"/>
    <w:rsid w:val="00362172"/>
    <w:rsid w:val="003626F3"/>
    <w:rsid w:val="003642D1"/>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30"/>
    <w:rsid w:val="003D76BE"/>
    <w:rsid w:val="003E1F27"/>
    <w:rsid w:val="003E242D"/>
    <w:rsid w:val="003E2D82"/>
    <w:rsid w:val="003E35CC"/>
    <w:rsid w:val="003E3E38"/>
    <w:rsid w:val="003E76DB"/>
    <w:rsid w:val="003F0280"/>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3105"/>
    <w:rsid w:val="004454C4"/>
    <w:rsid w:val="00445589"/>
    <w:rsid w:val="00445B85"/>
    <w:rsid w:val="004475CC"/>
    <w:rsid w:val="00447D01"/>
    <w:rsid w:val="00451A22"/>
    <w:rsid w:val="0045386E"/>
    <w:rsid w:val="00455418"/>
    <w:rsid w:val="00455C52"/>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931"/>
    <w:rsid w:val="004822D0"/>
    <w:rsid w:val="00482DA9"/>
    <w:rsid w:val="0048351D"/>
    <w:rsid w:val="004838FB"/>
    <w:rsid w:val="004843BC"/>
    <w:rsid w:val="004847C8"/>
    <w:rsid w:val="004847F4"/>
    <w:rsid w:val="0048509C"/>
    <w:rsid w:val="004852F1"/>
    <w:rsid w:val="00486603"/>
    <w:rsid w:val="00486F0A"/>
    <w:rsid w:val="00487400"/>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60CD"/>
    <w:rsid w:val="004B683B"/>
    <w:rsid w:val="004B71B7"/>
    <w:rsid w:val="004B7BCD"/>
    <w:rsid w:val="004C0ED4"/>
    <w:rsid w:val="004C10B0"/>
    <w:rsid w:val="004C10D5"/>
    <w:rsid w:val="004C137A"/>
    <w:rsid w:val="004C1BEA"/>
    <w:rsid w:val="004C1D24"/>
    <w:rsid w:val="004C42AC"/>
    <w:rsid w:val="004C498C"/>
    <w:rsid w:val="004C5730"/>
    <w:rsid w:val="004C7FBF"/>
    <w:rsid w:val="004D1229"/>
    <w:rsid w:val="004D2693"/>
    <w:rsid w:val="004D4A3D"/>
    <w:rsid w:val="004E3CA2"/>
    <w:rsid w:val="004E430F"/>
    <w:rsid w:val="004E4974"/>
    <w:rsid w:val="004E4C04"/>
    <w:rsid w:val="004E5432"/>
    <w:rsid w:val="004E5DCF"/>
    <w:rsid w:val="004E6070"/>
    <w:rsid w:val="004F045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20072"/>
    <w:rsid w:val="00521DC6"/>
    <w:rsid w:val="00525FA9"/>
    <w:rsid w:val="005301DE"/>
    <w:rsid w:val="005354B8"/>
    <w:rsid w:val="00536600"/>
    <w:rsid w:val="005378D0"/>
    <w:rsid w:val="005407C3"/>
    <w:rsid w:val="005409A4"/>
    <w:rsid w:val="00542661"/>
    <w:rsid w:val="00542D21"/>
    <w:rsid w:val="00543369"/>
    <w:rsid w:val="005438C1"/>
    <w:rsid w:val="00546161"/>
    <w:rsid w:val="005478A6"/>
    <w:rsid w:val="005502A7"/>
    <w:rsid w:val="00553655"/>
    <w:rsid w:val="00556AF1"/>
    <w:rsid w:val="00556C61"/>
    <w:rsid w:val="005667DF"/>
    <w:rsid w:val="00566911"/>
    <w:rsid w:val="00567D3A"/>
    <w:rsid w:val="005721DE"/>
    <w:rsid w:val="00573169"/>
    <w:rsid w:val="00573C29"/>
    <w:rsid w:val="005744B8"/>
    <w:rsid w:val="00574562"/>
    <w:rsid w:val="005750BA"/>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621B"/>
    <w:rsid w:val="005E6EC7"/>
    <w:rsid w:val="005F139E"/>
    <w:rsid w:val="005F1460"/>
    <w:rsid w:val="005F1848"/>
    <w:rsid w:val="005F2E9D"/>
    <w:rsid w:val="005F3BEC"/>
    <w:rsid w:val="005F4334"/>
    <w:rsid w:val="005F4DC9"/>
    <w:rsid w:val="005F4F11"/>
    <w:rsid w:val="005F5FB0"/>
    <w:rsid w:val="0060165E"/>
    <w:rsid w:val="006018AD"/>
    <w:rsid w:val="00601D64"/>
    <w:rsid w:val="006039A7"/>
    <w:rsid w:val="00605062"/>
    <w:rsid w:val="00605A64"/>
    <w:rsid w:val="00606CAC"/>
    <w:rsid w:val="006100B8"/>
    <w:rsid w:val="006100FC"/>
    <w:rsid w:val="00612BD5"/>
    <w:rsid w:val="00613689"/>
    <w:rsid w:val="006161B3"/>
    <w:rsid w:val="0061771E"/>
    <w:rsid w:val="006226BF"/>
    <w:rsid w:val="0062324D"/>
    <w:rsid w:val="0062398A"/>
    <w:rsid w:val="00623ABA"/>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6812"/>
    <w:rsid w:val="0066166F"/>
    <w:rsid w:val="00663212"/>
    <w:rsid w:val="00663492"/>
    <w:rsid w:val="00664610"/>
    <w:rsid w:val="00665427"/>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6ABE"/>
    <w:rsid w:val="006A6F83"/>
    <w:rsid w:val="006B1097"/>
    <w:rsid w:val="006B1572"/>
    <w:rsid w:val="006B32BE"/>
    <w:rsid w:val="006B451E"/>
    <w:rsid w:val="006B468F"/>
    <w:rsid w:val="006B582C"/>
    <w:rsid w:val="006B761F"/>
    <w:rsid w:val="006B7657"/>
    <w:rsid w:val="006C034F"/>
    <w:rsid w:val="006C0A4C"/>
    <w:rsid w:val="006C0B7B"/>
    <w:rsid w:val="006C3C65"/>
    <w:rsid w:val="006C5228"/>
    <w:rsid w:val="006D2994"/>
    <w:rsid w:val="006D34CC"/>
    <w:rsid w:val="006D416E"/>
    <w:rsid w:val="006E1102"/>
    <w:rsid w:val="006E150E"/>
    <w:rsid w:val="006E30F1"/>
    <w:rsid w:val="006E3F7B"/>
    <w:rsid w:val="006E4DFC"/>
    <w:rsid w:val="006E566E"/>
    <w:rsid w:val="006F14AE"/>
    <w:rsid w:val="006F2861"/>
    <w:rsid w:val="006F2E08"/>
    <w:rsid w:val="006F3198"/>
    <w:rsid w:val="006F3A22"/>
    <w:rsid w:val="006F5B62"/>
    <w:rsid w:val="006F7728"/>
    <w:rsid w:val="0070579F"/>
    <w:rsid w:val="007061AC"/>
    <w:rsid w:val="007061D2"/>
    <w:rsid w:val="00707432"/>
    <w:rsid w:val="00707FEE"/>
    <w:rsid w:val="00712BE6"/>
    <w:rsid w:val="007135C6"/>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199"/>
    <w:rsid w:val="0079068C"/>
    <w:rsid w:val="0079412A"/>
    <w:rsid w:val="00794CA6"/>
    <w:rsid w:val="00794E2D"/>
    <w:rsid w:val="00796D5A"/>
    <w:rsid w:val="007A0684"/>
    <w:rsid w:val="007A15FE"/>
    <w:rsid w:val="007A1797"/>
    <w:rsid w:val="007A22D4"/>
    <w:rsid w:val="007A2640"/>
    <w:rsid w:val="007A3525"/>
    <w:rsid w:val="007A4667"/>
    <w:rsid w:val="007B04BD"/>
    <w:rsid w:val="007B20E8"/>
    <w:rsid w:val="007B3C16"/>
    <w:rsid w:val="007B4183"/>
    <w:rsid w:val="007B58CF"/>
    <w:rsid w:val="007B609E"/>
    <w:rsid w:val="007C06D5"/>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27FC"/>
    <w:rsid w:val="00816FE2"/>
    <w:rsid w:val="00817ACB"/>
    <w:rsid w:val="00822175"/>
    <w:rsid w:val="0082291D"/>
    <w:rsid w:val="00822A17"/>
    <w:rsid w:val="00823304"/>
    <w:rsid w:val="0082414F"/>
    <w:rsid w:val="008245DD"/>
    <w:rsid w:val="0082696E"/>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888"/>
    <w:rsid w:val="00856522"/>
    <w:rsid w:val="00857040"/>
    <w:rsid w:val="00857F56"/>
    <w:rsid w:val="00862119"/>
    <w:rsid w:val="00862226"/>
    <w:rsid w:val="00862A96"/>
    <w:rsid w:val="00863606"/>
    <w:rsid w:val="008642C3"/>
    <w:rsid w:val="00865802"/>
    <w:rsid w:val="0086663C"/>
    <w:rsid w:val="00867AE2"/>
    <w:rsid w:val="008704FC"/>
    <w:rsid w:val="00870843"/>
    <w:rsid w:val="00870F39"/>
    <w:rsid w:val="008714C3"/>
    <w:rsid w:val="00871936"/>
    <w:rsid w:val="00871E5B"/>
    <w:rsid w:val="00872231"/>
    <w:rsid w:val="00873DAA"/>
    <w:rsid w:val="008755F5"/>
    <w:rsid w:val="0087560C"/>
    <w:rsid w:val="00875654"/>
    <w:rsid w:val="00875F49"/>
    <w:rsid w:val="00883736"/>
    <w:rsid w:val="0088579D"/>
    <w:rsid w:val="00887243"/>
    <w:rsid w:val="008900A7"/>
    <w:rsid w:val="00890FB2"/>
    <w:rsid w:val="008914FE"/>
    <w:rsid w:val="008943C5"/>
    <w:rsid w:val="00895413"/>
    <w:rsid w:val="0089608B"/>
    <w:rsid w:val="00897057"/>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D21"/>
    <w:rsid w:val="008E7293"/>
    <w:rsid w:val="008F085B"/>
    <w:rsid w:val="008F1412"/>
    <w:rsid w:val="008F3A5A"/>
    <w:rsid w:val="008F3B2B"/>
    <w:rsid w:val="008F51B3"/>
    <w:rsid w:val="008F64C1"/>
    <w:rsid w:val="008F6F18"/>
    <w:rsid w:val="00900F7D"/>
    <w:rsid w:val="00903964"/>
    <w:rsid w:val="00903E1E"/>
    <w:rsid w:val="00904B84"/>
    <w:rsid w:val="00910C53"/>
    <w:rsid w:val="0091122F"/>
    <w:rsid w:val="00911B25"/>
    <w:rsid w:val="0091628A"/>
    <w:rsid w:val="009211CA"/>
    <w:rsid w:val="00921CCB"/>
    <w:rsid w:val="009220EF"/>
    <w:rsid w:val="00924B33"/>
    <w:rsid w:val="00924B3D"/>
    <w:rsid w:val="00925755"/>
    <w:rsid w:val="009260BF"/>
    <w:rsid w:val="00926345"/>
    <w:rsid w:val="00926844"/>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34E1"/>
    <w:rsid w:val="009A5E6F"/>
    <w:rsid w:val="009A7108"/>
    <w:rsid w:val="009B00E7"/>
    <w:rsid w:val="009B16AA"/>
    <w:rsid w:val="009B266E"/>
    <w:rsid w:val="009B3214"/>
    <w:rsid w:val="009B3755"/>
    <w:rsid w:val="009B4412"/>
    <w:rsid w:val="009B49B3"/>
    <w:rsid w:val="009B49B8"/>
    <w:rsid w:val="009B57F0"/>
    <w:rsid w:val="009B617B"/>
    <w:rsid w:val="009C0119"/>
    <w:rsid w:val="009C0DE6"/>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0477"/>
    <w:rsid w:val="00A24D06"/>
    <w:rsid w:val="00A25388"/>
    <w:rsid w:val="00A25D14"/>
    <w:rsid w:val="00A279A7"/>
    <w:rsid w:val="00A27DBD"/>
    <w:rsid w:val="00A30C16"/>
    <w:rsid w:val="00A3236A"/>
    <w:rsid w:val="00A328B0"/>
    <w:rsid w:val="00A335EC"/>
    <w:rsid w:val="00A34F8E"/>
    <w:rsid w:val="00A3501C"/>
    <w:rsid w:val="00A3515E"/>
    <w:rsid w:val="00A37176"/>
    <w:rsid w:val="00A40EDB"/>
    <w:rsid w:val="00A421D7"/>
    <w:rsid w:val="00A427DB"/>
    <w:rsid w:val="00A44E04"/>
    <w:rsid w:val="00A46765"/>
    <w:rsid w:val="00A504EB"/>
    <w:rsid w:val="00A51DFA"/>
    <w:rsid w:val="00A534D9"/>
    <w:rsid w:val="00A62780"/>
    <w:rsid w:val="00A627A5"/>
    <w:rsid w:val="00A6483D"/>
    <w:rsid w:val="00A64EB3"/>
    <w:rsid w:val="00A708EE"/>
    <w:rsid w:val="00A718B9"/>
    <w:rsid w:val="00A71957"/>
    <w:rsid w:val="00A74000"/>
    <w:rsid w:val="00A75405"/>
    <w:rsid w:val="00A75BE6"/>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C10"/>
    <w:rsid w:val="00AD2BEC"/>
    <w:rsid w:val="00AD4D28"/>
    <w:rsid w:val="00AD565A"/>
    <w:rsid w:val="00AD5A87"/>
    <w:rsid w:val="00AD5F11"/>
    <w:rsid w:val="00AD6434"/>
    <w:rsid w:val="00AD68B8"/>
    <w:rsid w:val="00AE1127"/>
    <w:rsid w:val="00AE1BA2"/>
    <w:rsid w:val="00AE200D"/>
    <w:rsid w:val="00AE33F7"/>
    <w:rsid w:val="00AE4011"/>
    <w:rsid w:val="00AE4999"/>
    <w:rsid w:val="00AE4DC0"/>
    <w:rsid w:val="00AE4DC1"/>
    <w:rsid w:val="00AE6925"/>
    <w:rsid w:val="00AE71A7"/>
    <w:rsid w:val="00AE73E1"/>
    <w:rsid w:val="00AE7713"/>
    <w:rsid w:val="00AF1562"/>
    <w:rsid w:val="00AF5C60"/>
    <w:rsid w:val="00AF6599"/>
    <w:rsid w:val="00AF73B3"/>
    <w:rsid w:val="00AF7F31"/>
    <w:rsid w:val="00B00304"/>
    <w:rsid w:val="00B005DC"/>
    <w:rsid w:val="00B00D45"/>
    <w:rsid w:val="00B0159B"/>
    <w:rsid w:val="00B01D89"/>
    <w:rsid w:val="00B020F8"/>
    <w:rsid w:val="00B025A0"/>
    <w:rsid w:val="00B040D9"/>
    <w:rsid w:val="00B05E41"/>
    <w:rsid w:val="00B062ED"/>
    <w:rsid w:val="00B06F56"/>
    <w:rsid w:val="00B12E41"/>
    <w:rsid w:val="00B130D8"/>
    <w:rsid w:val="00B13659"/>
    <w:rsid w:val="00B13ACA"/>
    <w:rsid w:val="00B13C36"/>
    <w:rsid w:val="00B13F08"/>
    <w:rsid w:val="00B14283"/>
    <w:rsid w:val="00B16D9D"/>
    <w:rsid w:val="00B16ECA"/>
    <w:rsid w:val="00B16FBE"/>
    <w:rsid w:val="00B218AE"/>
    <w:rsid w:val="00B2200B"/>
    <w:rsid w:val="00B31BF3"/>
    <w:rsid w:val="00B32451"/>
    <w:rsid w:val="00B329A3"/>
    <w:rsid w:val="00B32D40"/>
    <w:rsid w:val="00B33CC0"/>
    <w:rsid w:val="00B3513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492B"/>
    <w:rsid w:val="00BA54EF"/>
    <w:rsid w:val="00BA56D6"/>
    <w:rsid w:val="00BA60AC"/>
    <w:rsid w:val="00BA76A9"/>
    <w:rsid w:val="00BB0C3F"/>
    <w:rsid w:val="00BB142E"/>
    <w:rsid w:val="00BB2455"/>
    <w:rsid w:val="00BB2B1E"/>
    <w:rsid w:val="00BB3A6F"/>
    <w:rsid w:val="00BB5122"/>
    <w:rsid w:val="00BB5519"/>
    <w:rsid w:val="00BC0151"/>
    <w:rsid w:val="00BC1D90"/>
    <w:rsid w:val="00BC2679"/>
    <w:rsid w:val="00BC4B9F"/>
    <w:rsid w:val="00BC4EBB"/>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DE6"/>
    <w:rsid w:val="00C27C7F"/>
    <w:rsid w:val="00C311D4"/>
    <w:rsid w:val="00C31B5D"/>
    <w:rsid w:val="00C32161"/>
    <w:rsid w:val="00C3372B"/>
    <w:rsid w:val="00C33B3E"/>
    <w:rsid w:val="00C35A42"/>
    <w:rsid w:val="00C362D6"/>
    <w:rsid w:val="00C40AE8"/>
    <w:rsid w:val="00C415A7"/>
    <w:rsid w:val="00C44716"/>
    <w:rsid w:val="00C474EC"/>
    <w:rsid w:val="00C5084F"/>
    <w:rsid w:val="00C513F5"/>
    <w:rsid w:val="00C54D33"/>
    <w:rsid w:val="00C54E0C"/>
    <w:rsid w:val="00C5788A"/>
    <w:rsid w:val="00C6007C"/>
    <w:rsid w:val="00C60678"/>
    <w:rsid w:val="00C6300E"/>
    <w:rsid w:val="00C63084"/>
    <w:rsid w:val="00C64124"/>
    <w:rsid w:val="00C65285"/>
    <w:rsid w:val="00C71B98"/>
    <w:rsid w:val="00C72830"/>
    <w:rsid w:val="00C74CB6"/>
    <w:rsid w:val="00C75618"/>
    <w:rsid w:val="00C77054"/>
    <w:rsid w:val="00C80234"/>
    <w:rsid w:val="00C80930"/>
    <w:rsid w:val="00C80B6F"/>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CA1"/>
    <w:rsid w:val="00CC3FFD"/>
    <w:rsid w:val="00CC4188"/>
    <w:rsid w:val="00CC4836"/>
    <w:rsid w:val="00CC4A88"/>
    <w:rsid w:val="00CC540B"/>
    <w:rsid w:val="00CD0073"/>
    <w:rsid w:val="00CD0F18"/>
    <w:rsid w:val="00CD134B"/>
    <w:rsid w:val="00CD221E"/>
    <w:rsid w:val="00CD242F"/>
    <w:rsid w:val="00CD257F"/>
    <w:rsid w:val="00CD3042"/>
    <w:rsid w:val="00CD4692"/>
    <w:rsid w:val="00CD4B87"/>
    <w:rsid w:val="00CD4F4D"/>
    <w:rsid w:val="00CD53A0"/>
    <w:rsid w:val="00CD74FB"/>
    <w:rsid w:val="00CE0328"/>
    <w:rsid w:val="00CE0D2D"/>
    <w:rsid w:val="00CE1A90"/>
    <w:rsid w:val="00CE1D87"/>
    <w:rsid w:val="00CE23A8"/>
    <w:rsid w:val="00CE26FC"/>
    <w:rsid w:val="00CE3033"/>
    <w:rsid w:val="00CE3667"/>
    <w:rsid w:val="00CE42F0"/>
    <w:rsid w:val="00CE5E32"/>
    <w:rsid w:val="00CE6B63"/>
    <w:rsid w:val="00CF14BA"/>
    <w:rsid w:val="00CF4DAD"/>
    <w:rsid w:val="00CF66DA"/>
    <w:rsid w:val="00CF7400"/>
    <w:rsid w:val="00CF7D51"/>
    <w:rsid w:val="00D001D5"/>
    <w:rsid w:val="00D00C8A"/>
    <w:rsid w:val="00D0346D"/>
    <w:rsid w:val="00D05027"/>
    <w:rsid w:val="00D06086"/>
    <w:rsid w:val="00D069B4"/>
    <w:rsid w:val="00D073B8"/>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6F7D"/>
    <w:rsid w:val="00D405F1"/>
    <w:rsid w:val="00D44D80"/>
    <w:rsid w:val="00D47635"/>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D2A"/>
    <w:rsid w:val="00D84907"/>
    <w:rsid w:val="00D84C2B"/>
    <w:rsid w:val="00D84C41"/>
    <w:rsid w:val="00D85B92"/>
    <w:rsid w:val="00D8603D"/>
    <w:rsid w:val="00D904F0"/>
    <w:rsid w:val="00D93470"/>
    <w:rsid w:val="00D93EEB"/>
    <w:rsid w:val="00D94046"/>
    <w:rsid w:val="00D94DA9"/>
    <w:rsid w:val="00D94F69"/>
    <w:rsid w:val="00D96ADB"/>
    <w:rsid w:val="00D96C7E"/>
    <w:rsid w:val="00D96CA0"/>
    <w:rsid w:val="00DA40D1"/>
    <w:rsid w:val="00DA5C7D"/>
    <w:rsid w:val="00DA6C23"/>
    <w:rsid w:val="00DA756B"/>
    <w:rsid w:val="00DB0E86"/>
    <w:rsid w:val="00DB20B6"/>
    <w:rsid w:val="00DB2C29"/>
    <w:rsid w:val="00DB47C5"/>
    <w:rsid w:val="00DB4FC1"/>
    <w:rsid w:val="00DC0958"/>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6343"/>
    <w:rsid w:val="00DE1BAB"/>
    <w:rsid w:val="00DE23C1"/>
    <w:rsid w:val="00DE24A2"/>
    <w:rsid w:val="00DE252E"/>
    <w:rsid w:val="00DE294F"/>
    <w:rsid w:val="00DE29B1"/>
    <w:rsid w:val="00DE455C"/>
    <w:rsid w:val="00DE4B94"/>
    <w:rsid w:val="00DE572A"/>
    <w:rsid w:val="00DE6121"/>
    <w:rsid w:val="00DF299E"/>
    <w:rsid w:val="00DF3DA5"/>
    <w:rsid w:val="00DF4C00"/>
    <w:rsid w:val="00DF5DA0"/>
    <w:rsid w:val="00DF64EF"/>
    <w:rsid w:val="00DF75EF"/>
    <w:rsid w:val="00DF75F2"/>
    <w:rsid w:val="00E00C0A"/>
    <w:rsid w:val="00E057E9"/>
    <w:rsid w:val="00E060B1"/>
    <w:rsid w:val="00E1016D"/>
    <w:rsid w:val="00E12767"/>
    <w:rsid w:val="00E12E3C"/>
    <w:rsid w:val="00E1387B"/>
    <w:rsid w:val="00E14D4F"/>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B8E"/>
    <w:rsid w:val="00E72E14"/>
    <w:rsid w:val="00E73593"/>
    <w:rsid w:val="00E73B32"/>
    <w:rsid w:val="00E76B3E"/>
    <w:rsid w:val="00E76BB8"/>
    <w:rsid w:val="00E775EC"/>
    <w:rsid w:val="00E80F96"/>
    <w:rsid w:val="00E822AE"/>
    <w:rsid w:val="00E82A55"/>
    <w:rsid w:val="00E84CB2"/>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B47"/>
    <w:rsid w:val="00FC4BD7"/>
    <w:rsid w:val="00FC4E99"/>
    <w:rsid w:val="00FC60A9"/>
    <w:rsid w:val="00FC6A59"/>
    <w:rsid w:val="00FC790E"/>
    <w:rsid w:val="00FD173D"/>
    <w:rsid w:val="00FD2215"/>
    <w:rsid w:val="00FD485E"/>
    <w:rsid w:val="00FD5826"/>
    <w:rsid w:val="00FD6A25"/>
    <w:rsid w:val="00FD6C5F"/>
    <w:rsid w:val="00FE0C2F"/>
    <w:rsid w:val="00FE0CD4"/>
    <w:rsid w:val="00FE1BC2"/>
    <w:rsid w:val="00FE2D3C"/>
    <w:rsid w:val="00FE2D85"/>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mmc1" TargetMode="External"/><Relationship Id="rId2" Type="http://schemas.openxmlformats.org/officeDocument/2006/relationships/hyperlink" Target="https://www.cell.com/immunity/fulltext/S1074-7613(19)30047-0?_returnURL=https%3A%2F%2Flinkinghub.elsevier.com%2Fretrieve%2Fpii%2FS1074761319300470%3Fshowall%3Dtrue#mmc1" TargetMode="External"/><Relationship Id="rId1" Type="http://schemas.openxmlformats.org/officeDocument/2006/relationships/hyperlink" Target="https://www.cell.com/immunity/fulltext/S1074-7613(19)30047-0?_returnURL=https%3A%2F%2Flinkinghub.elsevier.com%2Fretrieve%2Fpii%2FS1074761319300470%3Fshowall%3Dtrue#mmc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ikrohscopist/Murine_ILC_niches_lung_SI_IL-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E31BA"/>
    <w:rsid w:val="001A7EA9"/>
    <w:rsid w:val="001C7528"/>
    <w:rsid w:val="003B07F0"/>
    <w:rsid w:val="008C7D86"/>
    <w:rsid w:val="00C27CA4"/>
    <w:rsid w:val="00D50B49"/>
    <w:rsid w:val="00E22590"/>
    <w:rsid w:val="00F979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31BA"/>
    <w:rPr>
      <w:color w:val="808080"/>
    </w:rPr>
  </w:style>
  <w:style w:type="paragraph" w:customStyle="1" w:styleId="F03EC7CFE5C1417390B9F3F104D884B6">
    <w:name w:val="F03EC7CFE5C1417390B9F3F104D884B6"/>
    <w:rsid w:val="00F979B1"/>
  </w:style>
  <w:style w:type="paragraph" w:customStyle="1" w:styleId="7A02552D982C48E79290A2DE824C3D0B">
    <w:name w:val="7A02552D982C48E79290A2DE824C3D0B"/>
    <w:rsid w:val="000E31BA"/>
    <w:rPr>
      <w:lang w:val="en-DE" w:eastAsia="en-DE"/>
    </w:rPr>
  </w:style>
  <w:style w:type="paragraph" w:customStyle="1" w:styleId="12DF428F1CA744E790A12EF1ED6941D9">
    <w:name w:val="12DF428F1CA744E790A12EF1ED6941D9"/>
    <w:rsid w:val="000E31BA"/>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6177</Words>
  <Characters>35210</Characters>
  <Application>Microsoft Office Word</Application>
  <DocSecurity>0</DocSecurity>
  <Lines>293</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188</cp:revision>
  <dcterms:created xsi:type="dcterms:W3CDTF">2025-05-16T13:08:00Z</dcterms:created>
  <dcterms:modified xsi:type="dcterms:W3CDTF">2025-06-16T13:52:00Z</dcterms:modified>
</cp:coreProperties>
</file>