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实训项目计划书</w:t>
      </w:r>
    </w:p>
    <w:p>
      <w:pPr>
        <w:numPr>
          <w:ilvl w:val="0"/>
          <w:numId w:val="1"/>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项目简介</w:t>
      </w:r>
    </w:p>
    <w:p>
      <w:pPr>
        <w:numPr>
          <w:numId w:val="0"/>
        </w:numPr>
        <w:jc w:val="both"/>
        <w:rPr>
          <w:rFonts w:hint="default"/>
          <w:sz w:val="21"/>
          <w:szCs w:val="21"/>
          <w:lang w:val="en-US" w:eastAsia="zh-CN"/>
        </w:rPr>
      </w:pPr>
      <w:r>
        <w:rPr>
          <w:rFonts w:hint="default"/>
          <w:sz w:val="21"/>
          <w:szCs w:val="21"/>
          <w:lang w:val="en-US" w:eastAsia="zh-CN"/>
        </w:rPr>
        <w:t xml:space="preserve">项目名称：建筑材料供应链可视化分析系统. </w:t>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r>
        <w:rPr>
          <w:rFonts w:hint="default"/>
          <w:sz w:val="21"/>
          <w:szCs w:val="21"/>
          <w:lang w:val="en-US" w:eastAsia="zh-CN"/>
        </w:rPr>
        <w:t>项目背景：在当前竞争激烈的建筑材料市场中，准确、实时的数据分析对于企业决策至关重要。我们的公司专注于水泥和建筑材料的运输与销售，拥有一套成熟的ERP系统，积累了丰富的业务数据。为了进一步优化资源配置、提高市场响应速度和决策效率，我们计划开发一个基于ERP数据的可视化分析系统。</w:t>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r>
        <w:rPr>
          <w:rFonts w:hint="default"/>
          <w:sz w:val="21"/>
          <w:szCs w:val="21"/>
          <w:lang w:val="en-US" w:eastAsia="zh-CN"/>
        </w:rPr>
        <w:t>项目目标：</w:t>
      </w:r>
    </w:p>
    <w:p>
      <w:pPr>
        <w:numPr>
          <w:numId w:val="0"/>
        </w:numPr>
        <w:jc w:val="both"/>
        <w:rPr>
          <w:rFonts w:hint="default"/>
          <w:sz w:val="21"/>
          <w:szCs w:val="21"/>
          <w:lang w:val="en-US" w:eastAsia="zh-CN"/>
        </w:rPr>
      </w:pPr>
      <w:r>
        <w:rPr>
          <w:rFonts w:hint="default"/>
          <w:sz w:val="21"/>
          <w:szCs w:val="21"/>
          <w:lang w:val="en-US" w:eastAsia="zh-CN"/>
        </w:rPr>
        <w:t>本项目旨在通过数据可视化技术，直观展示公司业务的关键指标，包括但不限于：</w:t>
      </w:r>
    </w:p>
    <w:p>
      <w:pPr>
        <w:numPr>
          <w:numId w:val="0"/>
        </w:numPr>
        <w:jc w:val="both"/>
        <w:rPr>
          <w:rFonts w:hint="default"/>
          <w:sz w:val="21"/>
          <w:szCs w:val="21"/>
          <w:lang w:val="en-US" w:eastAsia="zh-CN"/>
        </w:rPr>
      </w:pPr>
      <w:r>
        <w:rPr>
          <w:rFonts w:hint="default"/>
          <w:sz w:val="21"/>
          <w:szCs w:val="21"/>
          <w:lang w:val="en-US" w:eastAsia="zh-CN"/>
        </w:rPr>
        <w:t>销售实际吨位排名前五的公司</w:t>
      </w:r>
    </w:p>
    <w:p>
      <w:pPr>
        <w:numPr>
          <w:numId w:val="0"/>
        </w:numPr>
        <w:jc w:val="both"/>
        <w:rPr>
          <w:rFonts w:hint="default"/>
          <w:sz w:val="21"/>
          <w:szCs w:val="21"/>
          <w:lang w:val="en-US" w:eastAsia="zh-CN"/>
        </w:rPr>
      </w:pPr>
      <w:r>
        <w:rPr>
          <w:rFonts w:hint="default"/>
          <w:sz w:val="21"/>
          <w:szCs w:val="21"/>
          <w:lang w:val="en-US" w:eastAsia="zh-CN"/>
        </w:rPr>
        <w:t>销售实际发货总额排名前五的公司</w:t>
      </w:r>
    </w:p>
    <w:p>
      <w:pPr>
        <w:numPr>
          <w:numId w:val="0"/>
        </w:numPr>
        <w:jc w:val="both"/>
        <w:rPr>
          <w:rFonts w:hint="default"/>
          <w:sz w:val="21"/>
          <w:szCs w:val="21"/>
          <w:lang w:val="en-US" w:eastAsia="zh-CN"/>
        </w:rPr>
      </w:pPr>
      <w:r>
        <w:rPr>
          <w:rFonts w:hint="default"/>
          <w:sz w:val="21"/>
          <w:szCs w:val="21"/>
          <w:lang w:val="en-US" w:eastAsia="zh-CN"/>
        </w:rPr>
        <w:t>海运与陆运吨位占比</w:t>
      </w:r>
    </w:p>
    <w:p>
      <w:pPr>
        <w:numPr>
          <w:numId w:val="0"/>
        </w:numPr>
        <w:jc w:val="both"/>
        <w:rPr>
          <w:rFonts w:hint="default"/>
          <w:sz w:val="21"/>
          <w:szCs w:val="21"/>
          <w:lang w:val="en-US" w:eastAsia="zh-CN"/>
        </w:rPr>
      </w:pPr>
      <w:r>
        <w:rPr>
          <w:rFonts w:hint="default"/>
          <w:sz w:val="21"/>
          <w:szCs w:val="21"/>
          <w:lang w:val="en-US" w:eastAsia="zh-CN"/>
        </w:rPr>
        <w:t>各码头仓库的发货总吨位</w:t>
      </w:r>
    </w:p>
    <w:p>
      <w:pPr>
        <w:numPr>
          <w:numId w:val="0"/>
        </w:numPr>
        <w:jc w:val="both"/>
        <w:rPr>
          <w:rFonts w:hint="default"/>
          <w:sz w:val="21"/>
          <w:szCs w:val="21"/>
          <w:lang w:val="en-US" w:eastAsia="zh-CN"/>
        </w:rPr>
      </w:pPr>
    </w:p>
    <w:p>
      <w:pPr>
        <w:numPr>
          <w:numId w:val="0"/>
        </w:numPr>
        <w:jc w:val="both"/>
        <w:rPr>
          <w:rFonts w:hint="eastAsia"/>
          <w:sz w:val="21"/>
          <w:szCs w:val="21"/>
          <w:lang w:val="en-US" w:eastAsia="zh-CN"/>
        </w:rPr>
      </w:pPr>
      <w:r>
        <w:rPr>
          <w:rFonts w:hint="eastAsia"/>
          <w:sz w:val="21"/>
          <w:szCs w:val="21"/>
          <w:lang w:val="en-US" w:eastAsia="zh-CN"/>
        </w:rPr>
        <w:t>核心功能：</w:t>
      </w:r>
    </w:p>
    <w:p>
      <w:pPr>
        <w:numPr>
          <w:numId w:val="0"/>
        </w:numPr>
        <w:jc w:val="both"/>
        <w:rPr>
          <w:rFonts w:hint="default"/>
          <w:sz w:val="21"/>
          <w:szCs w:val="21"/>
          <w:lang w:val="en-US" w:eastAsia="zh-CN"/>
        </w:rPr>
      </w:pPr>
      <w:r>
        <w:rPr>
          <w:rFonts w:hint="default"/>
          <w:sz w:val="21"/>
          <w:szCs w:val="21"/>
          <w:lang w:val="en-US" w:eastAsia="zh-CN"/>
        </w:rPr>
        <w:t>销售业绩排名：通过动态图表展示销售吨位和发货总额的公司排名，帮助管理层快速识别业绩领先者。</w:t>
      </w:r>
    </w:p>
    <w:p>
      <w:pPr>
        <w:numPr>
          <w:numId w:val="0"/>
        </w:numPr>
        <w:jc w:val="both"/>
        <w:rPr>
          <w:rFonts w:hint="default"/>
          <w:sz w:val="21"/>
          <w:szCs w:val="21"/>
          <w:lang w:val="en-US" w:eastAsia="zh-CN"/>
        </w:rPr>
      </w:pPr>
      <w:r>
        <w:rPr>
          <w:rFonts w:hint="default"/>
          <w:sz w:val="21"/>
          <w:szCs w:val="21"/>
          <w:lang w:val="en-US" w:eastAsia="zh-CN"/>
        </w:rPr>
        <w:t>运输方式分析：利用饼图或柱状图展示海运与陆运的吨位占比，为运输策略调整提供依据。</w:t>
      </w:r>
    </w:p>
    <w:p>
      <w:pPr>
        <w:numPr>
          <w:numId w:val="0"/>
        </w:numPr>
        <w:jc w:val="both"/>
        <w:rPr>
          <w:rFonts w:hint="default"/>
          <w:sz w:val="21"/>
          <w:szCs w:val="21"/>
          <w:lang w:val="en-US" w:eastAsia="zh-CN"/>
        </w:rPr>
      </w:pPr>
      <w:r>
        <w:rPr>
          <w:rFonts w:hint="default"/>
          <w:sz w:val="21"/>
          <w:szCs w:val="21"/>
          <w:lang w:val="en-US" w:eastAsia="zh-CN"/>
        </w:rPr>
        <w:t>物流分布图：地图可视化各码头仓库的发货总吨位，直观展示物流网络的分布和效率。</w:t>
      </w:r>
    </w:p>
    <w:p>
      <w:pPr>
        <w:numPr>
          <w:numId w:val="0"/>
        </w:numPr>
        <w:jc w:val="both"/>
        <w:rPr>
          <w:rFonts w:hint="default"/>
          <w:sz w:val="21"/>
          <w:szCs w:val="21"/>
          <w:lang w:val="en-US" w:eastAsia="zh-CN"/>
        </w:rPr>
      </w:pPr>
      <w:r>
        <w:rPr>
          <w:rFonts w:hint="default"/>
          <w:sz w:val="21"/>
          <w:szCs w:val="21"/>
          <w:lang w:val="en-US" w:eastAsia="zh-CN"/>
        </w:rPr>
        <w:t>趋势预测：利用时间序列分析预测销售和运输趋势，为长期规划提供数据支持。</w:t>
      </w:r>
    </w:p>
    <w:p>
      <w:pPr>
        <w:numPr>
          <w:numId w:val="0"/>
        </w:numPr>
        <w:jc w:val="both"/>
        <w:rPr>
          <w:rFonts w:hint="default"/>
          <w:sz w:val="21"/>
          <w:szCs w:val="21"/>
          <w:lang w:val="en-US" w:eastAsia="zh-CN"/>
        </w:rPr>
      </w:pPr>
      <w:r>
        <w:rPr>
          <w:rFonts w:hint="default"/>
          <w:sz w:val="21"/>
          <w:szCs w:val="21"/>
          <w:lang w:val="en-US" w:eastAsia="zh-CN"/>
        </w:rPr>
        <w:t>交互式仪表板：用户可以通过筛选器选择不同的时间范围、产品类型等，实现个性化的数据探索。</w:t>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ilvl w:val="0"/>
          <w:numId w:val="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项目需求</w:t>
      </w:r>
    </w:p>
    <w:p>
      <w:pPr>
        <w:numPr>
          <w:ilvl w:val="0"/>
          <w:numId w:val="2"/>
        </w:numPr>
        <w:ind w:leftChars="0"/>
        <w:jc w:val="both"/>
        <w:rPr>
          <w:rFonts w:hint="default"/>
          <w:sz w:val="21"/>
          <w:szCs w:val="21"/>
          <w:lang w:val="en-US" w:eastAsia="zh-CN"/>
        </w:rPr>
      </w:pPr>
      <w:r>
        <w:rPr>
          <w:rFonts w:hint="default"/>
          <w:sz w:val="21"/>
          <w:szCs w:val="21"/>
          <w:lang w:val="en-US" w:eastAsia="zh-CN"/>
        </w:rPr>
        <w:t>数据收集与处理需求</w:t>
      </w:r>
      <w:r>
        <w:rPr>
          <w:rFonts w:hint="eastAsia"/>
          <w:sz w:val="21"/>
          <w:szCs w:val="21"/>
          <w:lang w:val="en-US" w:eastAsia="zh-CN"/>
        </w:rPr>
        <w:t>：</w:t>
      </w:r>
    </w:p>
    <w:p>
      <w:pPr>
        <w:numPr>
          <w:numId w:val="0"/>
        </w:numPr>
        <w:jc w:val="both"/>
        <w:rPr>
          <w:rFonts w:hint="default"/>
          <w:sz w:val="21"/>
          <w:szCs w:val="21"/>
          <w:lang w:val="en-US" w:eastAsia="zh-CN"/>
        </w:rPr>
      </w:pPr>
      <w:r>
        <w:rPr>
          <w:rFonts w:hint="default"/>
          <w:sz w:val="21"/>
          <w:szCs w:val="21"/>
          <w:lang w:val="en-US" w:eastAsia="zh-CN"/>
        </w:rPr>
        <w:t>定义所需数据类型，如客户购买历史、产品偏好、市场趋势等。</w:t>
      </w:r>
    </w:p>
    <w:p>
      <w:pPr>
        <w:numPr>
          <w:numId w:val="0"/>
        </w:numPr>
        <w:jc w:val="both"/>
        <w:rPr>
          <w:rFonts w:hint="default"/>
          <w:sz w:val="21"/>
          <w:szCs w:val="21"/>
          <w:lang w:val="en-US" w:eastAsia="zh-CN"/>
        </w:rPr>
      </w:pPr>
      <w:r>
        <w:rPr>
          <w:rFonts w:hint="default"/>
          <w:sz w:val="21"/>
          <w:szCs w:val="21"/>
          <w:lang w:val="en-US" w:eastAsia="zh-CN"/>
        </w:rPr>
        <w:t>确定数据来源，包括内部数据（如销售记录、库存数据）和外部数据（如市场调研报告）。</w:t>
      </w:r>
    </w:p>
    <w:p>
      <w:pPr>
        <w:numPr>
          <w:numId w:val="0"/>
        </w:numPr>
        <w:jc w:val="both"/>
        <w:rPr>
          <w:rFonts w:hint="default"/>
          <w:sz w:val="21"/>
          <w:szCs w:val="21"/>
          <w:lang w:val="en-US" w:eastAsia="zh-CN"/>
        </w:rPr>
      </w:pPr>
      <w:r>
        <w:rPr>
          <w:rFonts w:hint="default"/>
          <w:sz w:val="21"/>
          <w:szCs w:val="21"/>
          <w:lang w:val="en-US" w:eastAsia="zh-CN"/>
        </w:rPr>
        <w:t>需要对数据进行清洗、转换和整合，以确保数据质量。</w:t>
      </w:r>
    </w:p>
    <w:p>
      <w:pPr>
        <w:numPr>
          <w:numId w:val="0"/>
        </w:numPr>
        <w:jc w:val="both"/>
        <w:rPr>
          <w:rFonts w:hint="default"/>
          <w:sz w:val="21"/>
          <w:szCs w:val="21"/>
          <w:lang w:val="en-US" w:eastAsia="zh-CN"/>
        </w:rPr>
      </w:pPr>
    </w:p>
    <w:p>
      <w:pPr>
        <w:numPr>
          <w:ilvl w:val="0"/>
          <w:numId w:val="2"/>
        </w:numPr>
        <w:ind w:left="0" w:leftChars="0" w:firstLine="0" w:firstLineChars="0"/>
        <w:jc w:val="both"/>
        <w:rPr>
          <w:rFonts w:hint="eastAsia"/>
          <w:sz w:val="21"/>
          <w:szCs w:val="21"/>
          <w:lang w:val="en-US" w:eastAsia="zh-CN"/>
        </w:rPr>
      </w:pPr>
      <w:r>
        <w:rPr>
          <w:rFonts w:hint="default"/>
          <w:sz w:val="21"/>
          <w:szCs w:val="21"/>
          <w:lang w:val="en-US" w:eastAsia="zh-CN"/>
        </w:rPr>
        <w:t>分析模型需求</w:t>
      </w:r>
      <w:r>
        <w:rPr>
          <w:rFonts w:hint="eastAsia"/>
          <w:sz w:val="21"/>
          <w:szCs w:val="21"/>
          <w:lang w:val="en-US" w:eastAsia="zh-CN"/>
        </w:rPr>
        <w:t>：</w:t>
      </w:r>
    </w:p>
    <w:p>
      <w:pPr>
        <w:numPr>
          <w:numId w:val="0"/>
        </w:numPr>
        <w:ind w:leftChars="0"/>
        <w:jc w:val="both"/>
        <w:rPr>
          <w:rFonts w:hint="default"/>
          <w:sz w:val="21"/>
          <w:szCs w:val="21"/>
          <w:lang w:val="en-US" w:eastAsia="zh-CN"/>
        </w:rPr>
      </w:pPr>
      <w:r>
        <w:rPr>
          <w:rFonts w:hint="default"/>
          <w:sz w:val="21"/>
          <w:szCs w:val="21"/>
          <w:lang w:val="en-US" w:eastAsia="zh-CN"/>
        </w:rPr>
        <w:t>确定分析目标，如客户细分、销售预测、市场趋势分析等。</w:t>
      </w:r>
    </w:p>
    <w:p>
      <w:pPr>
        <w:numPr>
          <w:numId w:val="0"/>
        </w:numPr>
        <w:ind w:leftChars="0"/>
        <w:jc w:val="both"/>
        <w:rPr>
          <w:rFonts w:hint="default"/>
          <w:sz w:val="21"/>
          <w:szCs w:val="21"/>
          <w:lang w:val="en-US" w:eastAsia="zh-CN"/>
        </w:rPr>
      </w:pPr>
      <w:r>
        <w:rPr>
          <w:rFonts w:hint="default"/>
          <w:sz w:val="21"/>
          <w:szCs w:val="21"/>
          <w:lang w:val="en-US" w:eastAsia="zh-CN"/>
        </w:rPr>
        <w:t>选择合适的统计方法和算法，如回归分析、聚类分析、时间序列分析等。</w:t>
      </w:r>
    </w:p>
    <w:p>
      <w:pPr>
        <w:numPr>
          <w:numId w:val="0"/>
        </w:numPr>
        <w:ind w:leftChars="0"/>
        <w:jc w:val="both"/>
        <w:rPr>
          <w:rFonts w:hint="default"/>
          <w:sz w:val="21"/>
          <w:szCs w:val="21"/>
          <w:lang w:val="en-US" w:eastAsia="zh-CN"/>
        </w:rPr>
      </w:pPr>
    </w:p>
    <w:p>
      <w:pPr>
        <w:numPr>
          <w:ilvl w:val="0"/>
          <w:numId w:val="2"/>
        </w:numPr>
        <w:ind w:left="0" w:leftChars="0" w:firstLine="0" w:firstLineChars="0"/>
        <w:jc w:val="both"/>
        <w:rPr>
          <w:rFonts w:hint="eastAsia"/>
          <w:sz w:val="21"/>
          <w:szCs w:val="21"/>
          <w:lang w:val="en-US" w:eastAsia="zh-CN"/>
        </w:rPr>
      </w:pPr>
      <w:r>
        <w:rPr>
          <w:rFonts w:hint="default"/>
          <w:sz w:val="21"/>
          <w:szCs w:val="21"/>
          <w:lang w:val="en-US" w:eastAsia="zh-CN"/>
        </w:rPr>
        <w:t>报告和可视化需求</w:t>
      </w:r>
      <w:r>
        <w:rPr>
          <w:rFonts w:hint="eastAsia"/>
          <w:sz w:val="21"/>
          <w:szCs w:val="21"/>
          <w:lang w:val="en-US" w:eastAsia="zh-CN"/>
        </w:rPr>
        <w:t>：</w:t>
      </w:r>
    </w:p>
    <w:p>
      <w:pPr>
        <w:numPr>
          <w:numId w:val="0"/>
        </w:numPr>
        <w:ind w:leftChars="0"/>
        <w:jc w:val="both"/>
        <w:rPr>
          <w:rFonts w:hint="default"/>
          <w:sz w:val="21"/>
          <w:szCs w:val="21"/>
          <w:lang w:val="en-US" w:eastAsia="zh-CN"/>
        </w:rPr>
      </w:pPr>
      <w:r>
        <w:rPr>
          <w:rFonts w:hint="default"/>
          <w:sz w:val="21"/>
          <w:szCs w:val="21"/>
          <w:lang w:val="en-US" w:eastAsia="zh-CN"/>
        </w:rPr>
        <w:t>设计报告格式和内容，确保信息呈现清晰、直观。</w:t>
      </w:r>
    </w:p>
    <w:p>
      <w:pPr>
        <w:numPr>
          <w:numId w:val="0"/>
        </w:numPr>
        <w:ind w:leftChars="0"/>
        <w:jc w:val="both"/>
        <w:rPr>
          <w:rFonts w:hint="default"/>
          <w:sz w:val="21"/>
          <w:szCs w:val="21"/>
          <w:lang w:val="en-US" w:eastAsia="zh-CN"/>
        </w:rPr>
      </w:pPr>
      <w:r>
        <w:rPr>
          <w:rFonts w:hint="default"/>
          <w:sz w:val="21"/>
          <w:szCs w:val="21"/>
          <w:lang w:val="en-US" w:eastAsia="zh-CN"/>
        </w:rPr>
        <w:t>选择合适的数据可视化工具和技术，如图表、仪表板等。</w:t>
      </w:r>
    </w:p>
    <w:p>
      <w:pPr>
        <w:numPr>
          <w:numId w:val="0"/>
        </w:numPr>
        <w:ind w:leftChars="0"/>
        <w:jc w:val="both"/>
        <w:rPr>
          <w:rFonts w:hint="default"/>
          <w:sz w:val="21"/>
          <w:szCs w:val="21"/>
          <w:lang w:val="en-US" w:eastAsia="zh-CN"/>
        </w:rPr>
      </w:pPr>
    </w:p>
    <w:p>
      <w:pPr>
        <w:numPr>
          <w:numId w:val="0"/>
        </w:numPr>
        <w:ind w:leftChars="0"/>
        <w:jc w:val="both"/>
        <w:rPr>
          <w:rFonts w:hint="eastAsia"/>
          <w:sz w:val="21"/>
          <w:szCs w:val="21"/>
          <w:lang w:val="en-US" w:eastAsia="zh-CN"/>
        </w:rPr>
      </w:pPr>
    </w:p>
    <w:p>
      <w:pPr>
        <w:numPr>
          <w:numId w:val="0"/>
        </w:numPr>
        <w:ind w:leftChars="0"/>
        <w:jc w:val="both"/>
        <w:rPr>
          <w:rFonts w:hint="eastAsia"/>
          <w:sz w:val="21"/>
          <w:szCs w:val="21"/>
          <w:lang w:val="en-US" w:eastAsia="zh-CN"/>
        </w:rPr>
      </w:pPr>
    </w:p>
    <w:p>
      <w:pPr>
        <w:numPr>
          <w:numId w:val="0"/>
        </w:numPr>
        <w:ind w:leftChars="0"/>
        <w:jc w:val="both"/>
        <w:rPr>
          <w:rFonts w:hint="eastAsia"/>
          <w:sz w:val="21"/>
          <w:szCs w:val="21"/>
          <w:lang w:val="en-US" w:eastAsia="zh-CN"/>
        </w:rPr>
      </w:pPr>
    </w:p>
    <w:p>
      <w:pPr>
        <w:numPr>
          <w:numId w:val="0"/>
        </w:numPr>
        <w:ind w:leftChars="0"/>
        <w:jc w:val="both"/>
        <w:rPr>
          <w:rFonts w:hint="default"/>
          <w:sz w:val="21"/>
          <w:szCs w:val="21"/>
          <w:lang w:val="en-US" w:eastAsia="zh-CN"/>
        </w:rPr>
      </w:pPr>
      <w:r>
        <w:drawing>
          <wp:anchor distT="0" distB="0" distL="114300" distR="114300" simplePos="0" relativeHeight="251660288" behindDoc="0" locked="0" layoutInCell="1" allowOverlap="1">
            <wp:simplePos x="0" y="0"/>
            <wp:positionH relativeFrom="column">
              <wp:posOffset>2847340</wp:posOffset>
            </wp:positionH>
            <wp:positionV relativeFrom="paragraph">
              <wp:posOffset>137795</wp:posOffset>
            </wp:positionV>
            <wp:extent cx="2958465" cy="1495425"/>
            <wp:effectExtent l="0" t="0" r="635"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2958465" cy="1495425"/>
                    </a:xfrm>
                    <a:prstGeom prst="rect">
                      <a:avLst/>
                    </a:prstGeom>
                    <a:noFill/>
                    <a:ln>
                      <a:noFill/>
                    </a:ln>
                  </pic:spPr>
                </pic:pic>
              </a:graphicData>
            </a:graphic>
          </wp:anchor>
        </w:drawing>
      </w:r>
      <w:r>
        <w:rPr>
          <w:rFonts w:hint="eastAsia"/>
          <w:sz w:val="21"/>
          <w:szCs w:val="21"/>
          <w:lang w:val="en-US" w:eastAsia="zh-CN"/>
        </w:rPr>
        <w:t>三、</w:t>
      </w:r>
      <w:r>
        <w:rPr>
          <w:rFonts w:hint="eastAsia" w:ascii="黑体" w:hAnsi="黑体" w:eastAsia="黑体" w:cs="黑体"/>
          <w:sz w:val="21"/>
          <w:szCs w:val="21"/>
          <w:lang w:val="en-US" w:eastAsia="zh-CN"/>
        </w:rPr>
        <w:t>数据分析模块</w:t>
      </w:r>
    </w:p>
    <w:p>
      <w:pPr>
        <w:numPr>
          <w:numId w:val="0"/>
        </w:numPr>
        <w:jc w:val="both"/>
        <w:rPr>
          <w:rFonts w:hint="default"/>
          <w:sz w:val="21"/>
          <w:szCs w:val="21"/>
          <w:lang w:val="en-US" w:eastAsia="zh-CN"/>
        </w:rPr>
      </w:pPr>
      <w:r>
        <w:drawing>
          <wp:anchor distT="0" distB="0" distL="114300" distR="114300" simplePos="0" relativeHeight="251659264" behindDoc="0" locked="0" layoutInCell="1" allowOverlap="1">
            <wp:simplePos x="0" y="0"/>
            <wp:positionH relativeFrom="column">
              <wp:posOffset>-93345</wp:posOffset>
            </wp:positionH>
            <wp:positionV relativeFrom="paragraph">
              <wp:posOffset>80010</wp:posOffset>
            </wp:positionV>
            <wp:extent cx="2959100" cy="1323975"/>
            <wp:effectExtent l="0" t="0" r="0"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2959100" cy="1323975"/>
                    </a:xfrm>
                    <a:prstGeom prst="rect">
                      <a:avLst/>
                    </a:prstGeom>
                    <a:noFill/>
                    <a:ln>
                      <a:noFill/>
                    </a:ln>
                  </pic:spPr>
                </pic:pic>
              </a:graphicData>
            </a:graphic>
          </wp:anchor>
        </w:drawing>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eastAsia"/>
          <w:sz w:val="21"/>
          <w:szCs w:val="21"/>
          <w:lang w:val="en-US" w:eastAsia="zh-CN"/>
        </w:rPr>
      </w:pPr>
      <w:r>
        <w:rPr>
          <w:rFonts w:hint="eastAsia"/>
          <w:sz w:val="21"/>
          <w:szCs w:val="21"/>
          <w:lang w:val="en-US" w:eastAsia="zh-CN"/>
        </w:rPr>
        <w:t>数据清洗：</w:t>
      </w:r>
    </w:p>
    <w:p>
      <w:pPr>
        <w:numPr>
          <w:numId w:val="0"/>
        </w:numPr>
        <w:jc w:val="both"/>
        <w:rPr>
          <w:rFonts w:hint="default"/>
          <w:sz w:val="21"/>
          <w:szCs w:val="21"/>
          <w:lang w:val="en-US" w:eastAsia="zh-CN"/>
        </w:rPr>
      </w:pPr>
      <w:r>
        <w:rPr>
          <w:rFonts w:hint="default"/>
          <w:sz w:val="21"/>
          <w:szCs w:val="21"/>
          <w:lang w:val="en-US" w:eastAsia="zh-CN"/>
        </w:rPr>
        <w:t>数据间关联错误、数据本身错误、重复数据的冗余这些问题是影响单数据源的主要问题。误差是非常可能发生这种问题的原因。数据的关联错误一般是由人为造成的其中大多数为</w:t>
      </w:r>
      <w:r>
        <w:rPr>
          <w:rFonts w:hint="eastAsia"/>
          <w:sz w:val="21"/>
          <w:szCs w:val="21"/>
          <w:lang w:val="en-US" w:eastAsia="zh-CN"/>
        </w:rPr>
        <w:t xml:space="preserve">   </w:t>
      </w:r>
      <w:r>
        <w:rPr>
          <w:rFonts w:hint="default"/>
          <w:sz w:val="21"/>
          <w:szCs w:val="21"/>
          <w:lang w:val="en-US" w:eastAsia="zh-CN"/>
        </w:rPr>
        <w:t>(1)数据的重复。(2)数据的本身错误。 (3)数据之间关联错误。</w:t>
      </w:r>
    </w:p>
    <w:p>
      <w:pPr>
        <w:numPr>
          <w:numId w:val="0"/>
        </w:numPr>
        <w:jc w:val="both"/>
        <w:rPr>
          <w:rFonts w:hint="default"/>
          <w:sz w:val="21"/>
          <w:szCs w:val="21"/>
          <w:lang w:val="en-US" w:eastAsia="zh-CN"/>
        </w:rPr>
      </w:pPr>
      <w:r>
        <w:rPr>
          <w:rFonts w:hint="default"/>
          <w:sz w:val="21"/>
          <w:szCs w:val="21"/>
          <w:lang w:val="en-US" w:eastAsia="zh-CN"/>
        </w:rPr>
        <w:t>使用数理统计、数据挖掘或预定义相对应领域清洗规则将脏数据或者说不符合要求的数据转化为满足要求的干净数据。</w:t>
      </w:r>
    </w:p>
    <w:p>
      <w:pPr>
        <w:numPr>
          <w:numId w:val="0"/>
        </w:numPr>
        <w:jc w:val="both"/>
        <w:rPr>
          <w:rFonts w:hint="default"/>
          <w:sz w:val="21"/>
          <w:szCs w:val="21"/>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2143760</wp:posOffset>
                </wp:positionH>
                <wp:positionV relativeFrom="paragraph">
                  <wp:posOffset>586105</wp:posOffset>
                </wp:positionV>
                <wp:extent cx="4125595" cy="5500370"/>
                <wp:effectExtent l="0" t="0" r="0" b="0"/>
                <wp:wrapNone/>
                <wp:docPr id="1" name="文本框 12"/>
                <wp:cNvGraphicFramePr/>
                <a:graphic xmlns:a="http://schemas.openxmlformats.org/drawingml/2006/main">
                  <a:graphicData uri="http://schemas.microsoft.com/office/word/2010/wordprocessingShape">
                    <wps:wsp>
                      <wps:cNvSpPr txBox="1"/>
                      <wps:spPr>
                        <a:xfrm>
                          <a:off x="0" y="0"/>
                          <a:ext cx="4125595" cy="5500370"/>
                        </a:xfrm>
                        <a:prstGeom prst="rect">
                          <a:avLst/>
                        </a:prstGeom>
                        <a:noFill/>
                      </wps:spPr>
                      <wps:txbx>
                        <w:txbxContent>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我们设计了如下的数据清洗流程：</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1．数据分析阶段：为了发现那种错误和不一致要被删除，一种详细的数据分析是 需要的。除了数据和数据样本的人工检查，数据的字段内容的提取和发现查出数据问 题这些工作都是由指定程序来做的。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2．定义工作流和转换规则：根据数据源的数量，和它们的异质程度以及数据的脏 乱程度，大量的数据转换和清洗步骤可以被执行。有时，一个模式的转换通常被用于 匹配一个公共数据来源模型；对于数据仓库来说，代表这一个典型的关系表示法。早 期的数据清洗不仅能满足单数据源的实例层的需要，下一步可以进行数据集成。后来 的步奏可以清洗模式层/数据集成和多数据源的实例层问题。对于数据仓库而言，对于 数据流转换的控制和清洗应该被特殊的制定到 ETL（用来描述数据从抽取，加载，转换到目的端的过程，常用于数据仓库中。也可由于其他方面）的流程当中。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3．验证：一个转换模式的正确性和效率性，以及这种转换规则的定义应该被测试 和评估。应该有必要从源数据当中提取样本来提高定义的质量。多次迭代的分析，设 计和验证的步骤可能是必要的。例如，由于一些错误经过一些转换之后才变得明显。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4．转型：通过加载和运行 ETL 工作流执行的转换步骤来刷新数据仓库或多个数 据源的查询回答。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5．清洗后的回流：在（单数据源的）错误被删除后，干净的数据也替代原始的脏 数据回到数据源当中，为了避免遗留的应用程序重新为清洁工作进行数据的提取。</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最后再根据清洗后获得的干净数据集的纯度来评价数据集。</w:t>
                            </w:r>
                          </w:p>
                        </w:txbxContent>
                      </wps:txbx>
                      <wps:bodyPr wrap="square" rtlCol="0">
                        <a:noAutofit/>
                      </wps:bodyPr>
                    </wps:wsp>
                  </a:graphicData>
                </a:graphic>
              </wp:anchor>
            </w:drawing>
          </mc:Choice>
          <mc:Fallback>
            <w:pict>
              <v:shape id="文本框 12" o:spid="_x0000_s1026" o:spt="202" type="#_x0000_t202" style="position:absolute;left:0pt;margin-left:168.8pt;margin-top:46.15pt;height:433.1pt;width:324.85pt;z-index:251663360;mso-width-relative:page;mso-height-relative:page;" filled="f" stroked="f" coordsize="21600,21600" o:gfxdata="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C7v5zXAAAACgEAAA8AAAAAAAAAAQAgAAAAIgAAAGRycy9kb3ducmV2LnhtbFBLAQIU&#10;ABQAAAAIAIdO4kDsVZoIuwEAAF8DAAAOAAAAAAAAAAEAIAAAACYBAABkcnMvZTJvRG9jLnhtbFBL&#10;BQYAAAAABgAGAFkBAABTBQAAAAA=&#10;">
                <v:fill on="f" focussize="0,0"/>
                <v:stroke on="f"/>
                <v:imagedata o:title=""/>
                <o:lock v:ext="edit" aspectratio="f"/>
                <v:textbox>
                  <w:txbxContent>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我们设计了如下的数据清洗流程：</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1．数据分析阶段：为了发现那种错误和不一致要被删除，一种详细的数据分析是 需要的。除了数据和数据样本的人工检查，数据的字段内容的提取和发现查出数据问 题这些工作都是由指定程序来做的。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2．定义工作流和转换规则：根据数据源的数量，和它们的异质程度以及数据的脏 乱程度，大量的数据转换和清洗步骤可以被执行。有时，一个模式的转换通常被用于 匹配一个公共数据来源模型；对于数据仓库来说，代表这一个典型的关系表示法。早 期的数据清洗不仅能满足单数据源的实例层的需要，下一步可以进行数据集成。后来 的步奏可以清洗模式层/数据集成和多数据源的实例层问题。对于数据仓库而言，对于 数据流转换的控制和清洗应该被特殊的制定到 ETL（用来描述数据从抽取，加载，转换到目的端的过程，常用于数据仓库中。也可由于其他方面）的流程当中。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3．验证：一个转换模式的正确性和效率性，以及这种转换规则的定义应该被测试 和评估。应该有必要从源数据当中提取样本来提高定义的质量。多次迭代的分析，设 计和验证的步骤可能是必要的。例如，由于一些错误经过一些转换之后才变得明显。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 xml:space="preserve">4．转型：通过加载和运行 ETL 工作流执行的转换步骤来刷新数据仓库或多个数 据源的查询回答。 </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5．清洗后的回流：在（单数据源的）错误被删除后，干净的数据也替代原始的脏 数据回到数据源当中，为了避免遗留的应用程序重新为清洁工作进行数据的提取。</w:t>
                      </w:r>
                    </w:p>
                    <w:p>
                      <w:pPr>
                        <w:pStyle w:val="2"/>
                        <w:kinsoku/>
                        <w:ind w:left="0"/>
                        <w:jc w:val="left"/>
                        <w:rPr>
                          <w:rFonts w:hint="eastAsia" w:ascii="宋体" w:hAnsi="宋体" w:eastAsia="宋体" w:cs="宋体"/>
                          <w:b w:val="0"/>
                          <w:bCs w:val="0"/>
                          <w:sz w:val="21"/>
                          <w:szCs w:val="21"/>
                        </w:rPr>
                      </w:pPr>
                      <w:r>
                        <w:rPr>
                          <w:rFonts w:hint="eastAsia" w:ascii="宋体" w:hAnsi="宋体" w:eastAsia="宋体" w:cs="宋体"/>
                          <w:b w:val="0"/>
                          <w:bCs w:val="0"/>
                          <w:color w:val="000000" w:themeColor="text1"/>
                          <w:kern w:val="24"/>
                          <w:sz w:val="21"/>
                          <w:szCs w:val="21"/>
                          <w14:textFill>
                            <w14:solidFill>
                              <w14:schemeClr w14:val="tx1"/>
                            </w14:solidFill>
                          </w14:textFill>
                        </w:rPr>
                        <w:t>最后再根据清洗后获得的干净数据集的纯度来评价数据集。</w:t>
                      </w:r>
                    </w:p>
                  </w:txbxContent>
                </v:textbox>
              </v:shape>
            </w:pict>
          </mc:Fallback>
        </mc:AlternateContent>
      </w:r>
      <w:r>
        <w:rPr>
          <w:rFonts w:hint="default"/>
          <w:sz w:val="21"/>
          <w:szCs w:val="21"/>
          <w:lang w:val="en-US" w:eastAsia="zh-CN"/>
        </w:rPr>
        <w:t>在（单数据源的）错误被删除后，干净的数据也替代原始的脏 数据回到数据源当中，为了避免遗留的应用程序重新为清洁工作进行数据的提取。最后再根据清洗后获得的干净数据集的纯度来评价数据集。</w:t>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r>
        <w:drawing>
          <wp:anchor distT="0" distB="0" distL="114300" distR="114300" simplePos="0" relativeHeight="251661312" behindDoc="0" locked="0" layoutInCell="1" allowOverlap="1">
            <wp:simplePos x="0" y="0"/>
            <wp:positionH relativeFrom="column">
              <wp:posOffset>-184150</wp:posOffset>
            </wp:positionH>
            <wp:positionV relativeFrom="paragraph">
              <wp:posOffset>53975</wp:posOffset>
            </wp:positionV>
            <wp:extent cx="2480310" cy="12490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rcRect r="-5332" b="65019"/>
                    <a:stretch>
                      <a:fillRect/>
                    </a:stretch>
                  </pic:blipFill>
                  <pic:spPr>
                    <a:xfrm>
                      <a:off x="0" y="0"/>
                      <a:ext cx="2480310" cy="1249045"/>
                    </a:xfrm>
                    <a:prstGeom prst="rect">
                      <a:avLst/>
                    </a:prstGeom>
                    <a:noFill/>
                    <a:ln>
                      <a:noFill/>
                    </a:ln>
                  </pic:spPr>
                </pic:pic>
              </a:graphicData>
            </a:graphic>
          </wp:anchor>
        </w:drawing>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r>
        <w:drawing>
          <wp:anchor distT="0" distB="0" distL="114300" distR="114300" simplePos="0" relativeHeight="251662336" behindDoc="0" locked="0" layoutInCell="1" allowOverlap="1">
            <wp:simplePos x="0" y="0"/>
            <wp:positionH relativeFrom="column">
              <wp:posOffset>-187325</wp:posOffset>
            </wp:positionH>
            <wp:positionV relativeFrom="paragraph">
              <wp:posOffset>104775</wp:posOffset>
            </wp:positionV>
            <wp:extent cx="2339340" cy="2339340"/>
            <wp:effectExtent l="0" t="0" r="10160" b="1016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rcRect l="-15" t="34589" r="15" b="-564"/>
                    <a:stretch>
                      <a:fillRect/>
                    </a:stretch>
                  </pic:blipFill>
                  <pic:spPr>
                    <a:xfrm>
                      <a:off x="0" y="0"/>
                      <a:ext cx="2339340" cy="2339340"/>
                    </a:xfrm>
                    <a:prstGeom prst="rect">
                      <a:avLst/>
                    </a:prstGeom>
                    <a:noFill/>
                    <a:ln>
                      <a:noFill/>
                    </a:ln>
                  </pic:spPr>
                </pic:pic>
              </a:graphicData>
            </a:graphic>
          </wp:anchor>
        </w:drawing>
      </w: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sz w:val="21"/>
          <w:szCs w:val="21"/>
          <w:lang w:val="en-US" w:eastAsia="zh-CN"/>
        </w:rPr>
      </w:pPr>
    </w:p>
    <w:p>
      <w:pPr>
        <w:numPr>
          <w:numId w:val="0"/>
        </w:numPr>
        <w:jc w:val="both"/>
        <w:rPr>
          <w:rFonts w:hint="default" w:eastAsiaTheme="minorEastAsia"/>
          <w:lang w:val="en-US" w:eastAsia="zh-CN"/>
        </w:rPr>
      </w:pPr>
      <w:r>
        <w:rPr>
          <w:rFonts w:hint="eastAsia"/>
          <w:lang w:val="en-US" w:eastAsia="zh-CN"/>
        </w:rPr>
        <w:t>数据预测：</w:t>
      </w:r>
    </w:p>
    <w:p>
      <w:pPr>
        <w:numPr>
          <w:numId w:val="0"/>
        </w:numPr>
        <w:jc w:val="both"/>
      </w:pPr>
      <w:r>
        <w:drawing>
          <wp:inline distT="0" distB="0" distL="114300" distR="114300">
            <wp:extent cx="4044950" cy="2315845"/>
            <wp:effectExtent l="0" t="0" r="635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044950" cy="2315845"/>
                    </a:xfrm>
                    <a:prstGeom prst="rect">
                      <a:avLst/>
                    </a:prstGeom>
                    <a:noFill/>
                    <a:ln>
                      <a:noFill/>
                    </a:ln>
                  </pic:spPr>
                </pic:pic>
              </a:graphicData>
            </a:graphic>
          </wp:inline>
        </w:drawing>
      </w:r>
    </w:p>
    <w:p>
      <w:pPr>
        <w:numPr>
          <w:numId w:val="0"/>
        </w:numPr>
        <w:jc w:val="both"/>
        <w:rPr>
          <w:rFonts w:hint="default"/>
          <w:lang w:val="en-US" w:eastAsia="zh-CN"/>
        </w:rPr>
      </w:pPr>
      <w:r>
        <w:rPr>
          <w:rFonts w:hint="default"/>
          <w:lang w:val="en-US" w:eastAsia="zh-CN"/>
        </w:rPr>
        <w:t xml:space="preserve">流程开始时，首先要进行月度需求预测，并根据预测结果形成品牌需求预测数。 </w:t>
      </w:r>
    </w:p>
    <w:p>
      <w:pPr>
        <w:numPr>
          <w:numId w:val="0"/>
        </w:numPr>
        <w:jc w:val="both"/>
        <w:rPr>
          <w:rFonts w:hint="default"/>
          <w:lang w:val="en-US" w:eastAsia="zh-CN"/>
        </w:rPr>
      </w:pPr>
      <w:r>
        <w:rPr>
          <w:rFonts w:hint="default"/>
          <w:lang w:val="en-US" w:eastAsia="zh-CN"/>
        </w:rPr>
        <w:t xml:space="preserve">接着，会根据品牌需求预测数形成辖区需求预测数，并进行审核。 若审核通过，则继续形成辖区需求预测数，再次进行审核。 </w:t>
      </w:r>
    </w:p>
    <w:p>
      <w:pPr>
        <w:numPr>
          <w:numId w:val="0"/>
        </w:numPr>
        <w:jc w:val="both"/>
        <w:rPr>
          <w:rFonts w:hint="default"/>
          <w:lang w:val="en-US" w:eastAsia="zh-CN"/>
        </w:rPr>
      </w:pPr>
      <w:r>
        <w:rPr>
          <w:rFonts w:hint="default"/>
          <w:lang w:val="en-US" w:eastAsia="zh-CN"/>
        </w:rPr>
        <w:t>审核通过后，形成分公司需求预测数。</w:t>
      </w:r>
    </w:p>
    <w:p>
      <w:pPr>
        <w:numPr>
          <w:numId w:val="0"/>
        </w:numPr>
        <w:jc w:val="both"/>
        <w:rPr>
          <w:rFonts w:hint="default"/>
          <w:lang w:val="en-US" w:eastAsia="zh-CN"/>
        </w:rPr>
      </w:pPr>
      <w:r>
        <w:rPr>
          <w:rFonts w:hint="default"/>
          <w:lang w:val="en-US" w:eastAsia="zh-CN"/>
        </w:rPr>
        <w:t xml:space="preserve">同时，会根据品牌需求预测数形成营销中心需求预测数，并填制《需求预测会审意见表》，进行审核。 若审核通过，则审核该需求预测数，并确定最终的月度需求预测数。 </w:t>
      </w:r>
    </w:p>
    <w:p>
      <w:pPr>
        <w:numPr>
          <w:numId w:val="0"/>
        </w:numPr>
        <w:jc w:val="both"/>
        <w:rPr>
          <w:rFonts w:hint="default"/>
          <w:lang w:val="en-US" w:eastAsia="zh-CN"/>
        </w:rPr>
      </w:pPr>
      <w:r>
        <w:rPr>
          <w:rFonts w:hint="default"/>
          <w:lang w:val="en-US" w:eastAsia="zh-CN"/>
        </w:rPr>
        <w:t>最后，会进行自评月度需求预测开展情况，并根据结果填制《“按客户订单组织货源”工作指标评价表》，最后将资料归档备案。</w:t>
      </w:r>
    </w:p>
    <w:p>
      <w:pPr>
        <w:numPr>
          <w:numId w:val="0"/>
        </w:numPr>
        <w:jc w:val="both"/>
        <w:rPr>
          <w:rFonts w:hint="default"/>
          <w:lang w:val="en-US" w:eastAsia="zh-CN"/>
        </w:rPr>
      </w:pPr>
    </w:p>
    <w:p>
      <w:pPr>
        <w:numPr>
          <w:numId w:val="0"/>
        </w:numPr>
        <w:jc w:val="both"/>
      </w:pPr>
      <w:r>
        <w:drawing>
          <wp:inline distT="0" distB="0" distL="114300" distR="114300">
            <wp:extent cx="3854450" cy="2256155"/>
            <wp:effectExtent l="0" t="0" r="635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854450" cy="2256155"/>
                    </a:xfrm>
                    <a:prstGeom prst="rect">
                      <a:avLst/>
                    </a:prstGeom>
                    <a:noFill/>
                    <a:ln>
                      <a:noFill/>
                    </a:ln>
                  </pic:spPr>
                </pic:pic>
              </a:graphicData>
            </a:graphic>
          </wp:inline>
        </w:drawing>
      </w:r>
    </w:p>
    <w:p>
      <w:pPr>
        <w:numPr>
          <w:numId w:val="0"/>
        </w:numPr>
        <w:jc w:val="both"/>
        <w:rPr>
          <w:rFonts w:hint="default"/>
          <w:lang w:val="en-US" w:eastAsia="zh-CN"/>
        </w:rPr>
      </w:pPr>
      <w:r>
        <w:rPr>
          <w:rFonts w:hint="default"/>
          <w:lang w:val="en-US" w:eastAsia="zh-CN"/>
        </w:rPr>
        <w:t>在数据预测模块。我们会根据时间序列模型进行模型构建和决策预测。</w:t>
      </w:r>
    </w:p>
    <w:p>
      <w:pPr>
        <w:numPr>
          <w:numId w:val="0"/>
        </w:numPr>
        <w:jc w:val="both"/>
        <w:rPr>
          <w:rFonts w:hint="default"/>
          <w:lang w:val="en-US" w:eastAsia="zh-CN"/>
        </w:rPr>
      </w:pPr>
      <w:r>
        <w:rPr>
          <w:rFonts w:hint="default"/>
          <w:lang w:val="en-US" w:eastAsia="zh-CN"/>
        </w:rPr>
        <w:t xml:space="preserve">首先，需要进行数据预处理，包括对销售数据进行ADF序列平稳性检验，若检验通过，则直接进行模型参数确定，否则需要进行季节性差分和序列平稳化处理。 </w:t>
      </w:r>
    </w:p>
    <w:p>
      <w:pPr>
        <w:numPr>
          <w:numId w:val="0"/>
        </w:numPr>
        <w:jc w:val="both"/>
        <w:rPr>
          <w:rFonts w:hint="default"/>
          <w:lang w:val="en-US" w:eastAsia="zh-CN"/>
        </w:rPr>
      </w:pPr>
      <w:r>
        <w:rPr>
          <w:rFonts w:hint="default"/>
          <w:lang w:val="en-US" w:eastAsia="zh-CN"/>
        </w:rPr>
        <w:t xml:space="preserve">在确定模型参数后，我们可以选择SARIMA模型进行预测，并计算MSE和MAPE指标来评估模型预测效果。 </w:t>
      </w:r>
    </w:p>
    <w:p>
      <w:pPr>
        <w:numPr>
          <w:numId w:val="0"/>
        </w:numPr>
        <w:jc w:val="both"/>
        <w:rPr>
          <w:rFonts w:hint="default"/>
          <w:lang w:val="en-US" w:eastAsia="zh-CN"/>
        </w:rPr>
      </w:pPr>
      <w:r>
        <w:rPr>
          <w:rFonts w:hint="default"/>
          <w:lang w:val="en-US" w:eastAsia="zh-CN"/>
        </w:rPr>
        <w:t>最后，根据模型预测结果进行销量预测并结束整个流程。</w:t>
      </w:r>
    </w:p>
    <w:p>
      <w:pPr>
        <w:numPr>
          <w:numId w:val="0"/>
        </w:numPr>
        <w:jc w:val="both"/>
        <w:rPr>
          <w:rFonts w:hint="default"/>
          <w:lang w:val="en-US" w:eastAsia="zh-CN"/>
        </w:rPr>
      </w:pPr>
      <w:r>
        <w:rPr>
          <w:rFonts w:hint="default"/>
          <w:lang w:val="en-US" w:eastAsia="zh-CN"/>
        </w:rPr>
        <w:t>整个流程中，主要包括数据预处理、模型选择、模型参数确定、模型预测和模型评估五个阶段。 每个阶段都至关重要，共同保证最终的预测结果准确可靠。</w:t>
      </w:r>
    </w:p>
    <w:p>
      <w:pPr>
        <w:numPr>
          <w:numId w:val="0"/>
        </w:numPr>
        <w:jc w:val="both"/>
        <w:rPr>
          <w:rFonts w:hint="default"/>
          <w:lang w:val="en-US" w:eastAsia="zh-CN"/>
        </w:rPr>
      </w:pPr>
    </w:p>
    <w:p>
      <w:pPr>
        <w:numPr>
          <w:numId w:val="0"/>
        </w:numPr>
        <w:jc w:val="both"/>
        <w:rPr>
          <w:rFonts w:hint="default"/>
          <w:sz w:val="21"/>
          <w:szCs w:val="21"/>
          <w:lang w:val="en-US" w:eastAsia="zh-CN"/>
        </w:rPr>
      </w:pPr>
    </w:p>
    <w:p>
      <w:pPr>
        <w:numPr>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四、数据可视化</w:t>
      </w:r>
    </w:p>
    <w:p>
      <w:pPr>
        <w:numPr>
          <w:numId w:val="0"/>
        </w:numPr>
        <w:ind w:leftChars="0"/>
        <w:jc w:val="both"/>
      </w:pPr>
      <w:r>
        <w:drawing>
          <wp:inline distT="0" distB="0" distL="114300" distR="114300">
            <wp:extent cx="2644140" cy="1753235"/>
            <wp:effectExtent l="0" t="0" r="10160"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9"/>
                    <a:stretch>
                      <a:fillRect/>
                    </a:stretch>
                  </pic:blipFill>
                  <pic:spPr>
                    <a:xfrm>
                      <a:off x="0" y="0"/>
                      <a:ext cx="2644140" cy="1753235"/>
                    </a:xfrm>
                    <a:prstGeom prst="rect">
                      <a:avLst/>
                    </a:prstGeom>
                    <a:noFill/>
                    <a:ln>
                      <a:noFill/>
                    </a:ln>
                  </pic:spPr>
                </pic:pic>
              </a:graphicData>
            </a:graphic>
          </wp:inline>
        </w:drawing>
      </w:r>
    </w:p>
    <w:p>
      <w:pPr>
        <w:numPr>
          <w:numId w:val="0"/>
        </w:numPr>
        <w:ind w:leftChars="0"/>
        <w:jc w:val="both"/>
        <w:rPr>
          <w:rFonts w:hint="default"/>
          <w:lang w:val="en-US" w:eastAsia="zh-CN"/>
        </w:rPr>
      </w:pPr>
      <w:r>
        <w:rPr>
          <w:rFonts w:hint="default"/>
          <w:lang w:val="en-US" w:eastAsia="zh-CN"/>
        </w:rPr>
        <w:t>公司设计的终端显示系统是一个高度集成和实时更新的监控平台，它能够为管理层提供关键的业务洞察。系统包括以下几个核心图表：</w:t>
      </w:r>
    </w:p>
    <w:p>
      <w:pPr>
        <w:numPr>
          <w:numId w:val="0"/>
        </w:numPr>
        <w:ind w:leftChars="0"/>
        <w:jc w:val="both"/>
        <w:rPr>
          <w:rFonts w:hint="default"/>
          <w:lang w:val="en-US" w:eastAsia="zh-CN"/>
        </w:rPr>
      </w:pPr>
      <w:r>
        <w:rPr>
          <w:rFonts w:hint="default"/>
          <w:lang w:val="en-US" w:eastAsia="zh-CN"/>
        </w:rPr>
        <w:t>1、海运陆运吨位占比图：实时展示不同运输方式的吨位比例，帮助管理层评估物流效率和成本。</w:t>
      </w:r>
    </w:p>
    <w:p>
      <w:pPr>
        <w:numPr>
          <w:numId w:val="0"/>
        </w:numPr>
        <w:ind w:leftChars="0"/>
        <w:jc w:val="both"/>
        <w:rPr>
          <w:rFonts w:hint="default"/>
          <w:lang w:val="en-US" w:eastAsia="zh-CN"/>
        </w:rPr>
      </w:pPr>
      <w:r>
        <w:rPr>
          <w:rFonts w:hint="default"/>
          <w:lang w:val="en-US" w:eastAsia="zh-CN"/>
        </w:rPr>
        <w:t>2、各仓库发货量占比图：通过可视化的方式呈现各仓库的发货量，便于监控库存和发货效率。</w:t>
      </w:r>
    </w:p>
    <w:p>
      <w:pPr>
        <w:numPr>
          <w:numId w:val="0"/>
        </w:numPr>
        <w:ind w:leftChars="0"/>
        <w:jc w:val="both"/>
        <w:rPr>
          <w:rFonts w:hint="default"/>
          <w:lang w:val="en-US" w:eastAsia="zh-CN"/>
        </w:rPr>
      </w:pPr>
      <w:r>
        <w:rPr>
          <w:rFonts w:hint="default"/>
          <w:lang w:val="en-US" w:eastAsia="zh-CN"/>
        </w:rPr>
        <w:t>3、各用户交易情况：展示用户交易的频率和金额，帮助识别关键客户和市场趋势。</w:t>
      </w:r>
    </w:p>
    <w:p>
      <w:pPr>
        <w:numPr>
          <w:numId w:val="0"/>
        </w:numPr>
        <w:ind w:leftChars="0"/>
        <w:jc w:val="both"/>
        <w:rPr>
          <w:rFonts w:hint="default"/>
          <w:lang w:val="en-US" w:eastAsia="zh-CN"/>
        </w:rPr>
      </w:pPr>
      <w:r>
        <w:rPr>
          <w:rFonts w:hint="default"/>
          <w:lang w:val="en-US" w:eastAsia="zh-CN"/>
        </w:rPr>
        <w:t>4、各销售员销售额情况：实时追踪销售员的业绩，通过图表形式展示，以激励团队并指导资源分配。</w:t>
      </w:r>
    </w:p>
    <w:p>
      <w:pPr>
        <w:numPr>
          <w:numId w:val="0"/>
        </w:numPr>
        <w:ind w:leftChars="0"/>
        <w:jc w:val="both"/>
        <w:rPr>
          <w:rFonts w:hint="default"/>
          <w:lang w:val="en-US" w:eastAsia="zh-CN"/>
        </w:rPr>
      </w:pPr>
      <w:r>
        <w:rPr>
          <w:rFonts w:hint="default"/>
          <w:lang w:val="en-US" w:eastAsia="zh-CN"/>
        </w:rPr>
        <w:t>此外，系统还具备以下特点：</w:t>
      </w:r>
    </w:p>
    <w:p>
      <w:pPr>
        <w:numPr>
          <w:numId w:val="0"/>
        </w:numPr>
        <w:ind w:leftChars="0"/>
        <w:jc w:val="both"/>
        <w:rPr>
          <w:rFonts w:hint="default"/>
          <w:lang w:val="en-US" w:eastAsia="zh-CN"/>
        </w:rPr>
      </w:pPr>
      <w:r>
        <w:rPr>
          <w:rFonts w:hint="default"/>
          <w:lang w:val="en-US" w:eastAsia="zh-CN"/>
        </w:rPr>
        <w:t>1、实时数据更新，确保信息的准确性和及时性。</w:t>
      </w:r>
    </w:p>
    <w:p>
      <w:pPr>
        <w:numPr>
          <w:numId w:val="0"/>
        </w:numPr>
        <w:ind w:leftChars="0"/>
        <w:jc w:val="both"/>
        <w:rPr>
          <w:rFonts w:hint="default"/>
          <w:lang w:val="en-US" w:eastAsia="zh-CN"/>
        </w:rPr>
      </w:pPr>
      <w:r>
        <w:rPr>
          <w:rFonts w:hint="default"/>
          <w:lang w:val="en-US" w:eastAsia="zh-CN"/>
        </w:rPr>
        <w:t>2、交互式设计，允许用户深入探索特定数据点。</w:t>
      </w:r>
    </w:p>
    <w:p>
      <w:pPr>
        <w:numPr>
          <w:numId w:val="0"/>
        </w:numPr>
        <w:ind w:leftChars="0"/>
        <w:jc w:val="both"/>
        <w:rPr>
          <w:rFonts w:hint="default"/>
          <w:lang w:val="en-US" w:eastAsia="zh-CN"/>
        </w:rPr>
      </w:pPr>
      <w:r>
        <w:rPr>
          <w:rFonts w:hint="default"/>
          <w:lang w:val="en-US" w:eastAsia="zh-CN"/>
        </w:rPr>
        <w:t>3、排序功能，使用户能够根据特定标准查看数据。</w:t>
      </w:r>
    </w:p>
    <w:p>
      <w:pPr>
        <w:numPr>
          <w:numId w:val="0"/>
        </w:numPr>
        <w:ind w:leftChars="0"/>
        <w:jc w:val="both"/>
        <w:rPr>
          <w:rFonts w:hint="default"/>
          <w:lang w:val="en-US" w:eastAsia="zh-CN"/>
        </w:rPr>
      </w:pPr>
      <w:r>
        <w:rPr>
          <w:rFonts w:hint="default"/>
          <w:lang w:val="en-US" w:eastAsia="zh-CN"/>
        </w:rPr>
        <w:t>4、预警系统，自动提醒管理层关注异常指标。</w:t>
      </w:r>
    </w:p>
    <w:p>
      <w:pPr>
        <w:numPr>
          <w:ilvl w:val="0"/>
          <w:numId w:val="0"/>
        </w:numPr>
        <w:ind w:leftChars="0" w:firstLine="210" w:firstLineChars="100"/>
        <w:jc w:val="both"/>
        <w:rPr>
          <w:rFonts w:hint="default"/>
          <w:lang w:val="en-US" w:eastAsia="zh-CN"/>
        </w:rPr>
      </w:pPr>
      <w:r>
        <w:rPr>
          <w:rFonts w:hint="eastAsia"/>
          <w:lang w:val="en-US" w:eastAsia="zh-CN"/>
        </w:rPr>
        <w:t>仓库发货量占比图：                  运输方式占比图：</w:t>
      </w:r>
    </w:p>
    <w:p>
      <w:pPr>
        <w:numPr>
          <w:numId w:val="0"/>
        </w:numPr>
        <w:ind w:leftChars="0"/>
        <w:jc w:val="both"/>
        <w:rPr>
          <w:rFonts w:hint="eastAsia"/>
          <w:lang w:val="en-US" w:eastAsia="zh-CN"/>
        </w:rPr>
      </w:pPr>
      <w:r>
        <w:rPr>
          <w:rFonts w:hint="eastAsia"/>
          <w:lang w:val="en-US" w:eastAsia="zh-CN"/>
        </w:rPr>
        <w:t xml:space="preserve"> </w:t>
      </w:r>
      <w:r>
        <w:drawing>
          <wp:inline distT="0" distB="0" distL="114300" distR="114300">
            <wp:extent cx="1865630" cy="1738630"/>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rcRect t="649" r="152"/>
                    <a:stretch>
                      <a:fillRect/>
                    </a:stretch>
                  </pic:blipFill>
                  <pic:spPr>
                    <a:xfrm>
                      <a:off x="0" y="0"/>
                      <a:ext cx="1865630" cy="1738630"/>
                    </a:xfrm>
                    <a:prstGeom prst="rect">
                      <a:avLst/>
                    </a:prstGeom>
                    <a:noFill/>
                    <a:ln>
                      <a:noFill/>
                    </a:ln>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703070" cy="1835785"/>
            <wp:effectExtent l="0" t="0" r="11430" b="5715"/>
            <wp:docPr id="29" name="图片 2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output3"/>
                    <pic:cNvPicPr>
                      <a:picLocks noChangeAspect="1"/>
                    </pic:cNvPicPr>
                  </pic:nvPicPr>
                  <pic:blipFill>
                    <a:blip r:embed="rId11"/>
                    <a:srcRect l="12246" t="8026" r="12186" b="9206"/>
                    <a:stretch>
                      <a:fillRect/>
                    </a:stretch>
                  </pic:blipFill>
                  <pic:spPr>
                    <a:xfrm>
                      <a:off x="0" y="0"/>
                      <a:ext cx="1703070" cy="1835785"/>
                    </a:xfrm>
                    <a:prstGeom prst="rect">
                      <a:avLst/>
                    </a:prstGeom>
                  </pic:spPr>
                </pic:pic>
              </a:graphicData>
            </a:graphic>
          </wp:inline>
        </w:drawing>
      </w:r>
      <w:r>
        <w:rPr>
          <w:rFonts w:hint="eastAsia"/>
          <w:lang w:val="en-US" w:eastAsia="zh-CN"/>
        </w:rPr>
        <w:t xml:space="preserve">          </w:t>
      </w:r>
    </w:p>
    <w:p>
      <w:pPr>
        <w:numPr>
          <w:ilvl w:val="0"/>
          <w:numId w:val="0"/>
        </w:numPr>
        <w:ind w:firstLine="210" w:firstLineChars="100"/>
        <w:jc w:val="both"/>
        <w:rPr>
          <w:rFonts w:hint="eastAsia"/>
          <w:lang w:val="en-US" w:eastAsia="zh-CN"/>
        </w:rPr>
      </w:pPr>
      <w:r>
        <w:rPr>
          <w:rFonts w:hint="eastAsia"/>
          <w:lang w:val="en-US" w:eastAsia="zh-CN"/>
        </w:rPr>
        <w:t>客户交易情况图：</w:t>
      </w:r>
    </w:p>
    <w:p>
      <w:pPr>
        <w:numPr>
          <w:ilvl w:val="0"/>
          <w:numId w:val="0"/>
        </w:numPr>
        <w:ind w:leftChars="0" w:firstLine="210" w:firstLineChars="100"/>
        <w:jc w:val="both"/>
        <w:rPr>
          <w:rFonts w:hint="default"/>
          <w:lang w:val="en-US" w:eastAsia="zh-CN"/>
        </w:rPr>
      </w:pPr>
      <w:r>
        <w:drawing>
          <wp:inline distT="0" distB="0" distL="114300" distR="114300">
            <wp:extent cx="3312795" cy="1657985"/>
            <wp:effectExtent l="0" t="0" r="1905" b="571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2"/>
                    <a:stretch>
                      <a:fillRect/>
                    </a:stretch>
                  </pic:blipFill>
                  <pic:spPr>
                    <a:xfrm>
                      <a:off x="0" y="0"/>
                      <a:ext cx="3312795" cy="1657985"/>
                    </a:xfrm>
                    <a:prstGeom prst="rect">
                      <a:avLst/>
                    </a:prstGeom>
                    <a:noFill/>
                    <a:ln>
                      <a:noFill/>
                    </a:ln>
                  </pic:spPr>
                </pic:pic>
              </a:graphicData>
            </a:graphic>
          </wp:inline>
        </w:drawing>
      </w:r>
    </w:p>
    <w:p>
      <w:pPr>
        <w:numPr>
          <w:ilvl w:val="0"/>
          <w:numId w:val="3"/>
        </w:numPr>
        <w:ind w:leftChars="0"/>
        <w:jc w:val="both"/>
        <w:rPr>
          <w:rFonts w:hint="eastAsia" w:ascii="黑体" w:hAnsi="黑体" w:eastAsia="黑体" w:cs="黑体"/>
          <w:lang w:val="en-US" w:eastAsia="zh-CN"/>
        </w:rPr>
      </w:pPr>
      <w:r>
        <w:rPr>
          <w:rFonts w:hint="eastAsia" w:ascii="黑体" w:hAnsi="黑体" w:eastAsia="黑体" w:cs="黑体"/>
          <w:lang w:val="en-US" w:eastAsia="zh-CN"/>
        </w:rPr>
        <w:t>维护培训</w:t>
      </w:r>
    </w:p>
    <w:p>
      <w:pPr>
        <w:numPr>
          <w:numId w:val="0"/>
        </w:numPr>
        <w:jc w:val="both"/>
        <w:rPr>
          <w:rFonts w:hint="eastAsia"/>
          <w:lang w:val="en-US" w:eastAsia="zh-CN"/>
        </w:rPr>
      </w:pPr>
      <w:r>
        <w:rPr>
          <w:rFonts w:hint="eastAsia"/>
          <w:lang w:val="en-US" w:eastAsia="zh-CN"/>
        </w:rPr>
        <w:t>1.</w:t>
      </w:r>
      <w:r>
        <w:rPr>
          <w:rFonts w:hint="default"/>
          <w:lang w:val="en-US" w:eastAsia="zh-CN"/>
        </w:rPr>
        <w:t>培训目标</w:t>
      </w:r>
      <w:r>
        <w:rPr>
          <w:rFonts w:hint="eastAsia"/>
          <w:lang w:val="en-US" w:eastAsia="zh-CN"/>
        </w:rPr>
        <w:t>：</w:t>
      </w:r>
    </w:p>
    <w:p>
      <w:pPr>
        <w:numPr>
          <w:numId w:val="0"/>
        </w:numPr>
        <w:jc w:val="both"/>
        <w:rPr>
          <w:rFonts w:hint="default"/>
          <w:lang w:val="en-US" w:eastAsia="zh-CN"/>
        </w:rPr>
      </w:pPr>
      <w:r>
        <w:rPr>
          <w:rFonts w:hint="default"/>
          <w:lang w:val="en-US" w:eastAsia="zh-CN"/>
        </w:rPr>
        <w:t>理解数据分析的重要性和应用场景。</w:t>
      </w:r>
    </w:p>
    <w:p>
      <w:pPr>
        <w:numPr>
          <w:numId w:val="0"/>
        </w:numPr>
        <w:jc w:val="both"/>
        <w:rPr>
          <w:rFonts w:hint="default"/>
          <w:lang w:val="en-US" w:eastAsia="zh-CN"/>
        </w:rPr>
      </w:pPr>
      <w:r>
        <w:rPr>
          <w:rFonts w:hint="default"/>
          <w:lang w:val="en-US" w:eastAsia="zh-CN"/>
        </w:rPr>
        <w:t>掌握数据分析工具和仪表板的基本操作。</w:t>
      </w:r>
    </w:p>
    <w:p>
      <w:pPr>
        <w:numPr>
          <w:numId w:val="0"/>
        </w:numPr>
        <w:jc w:val="both"/>
        <w:rPr>
          <w:rFonts w:hint="default"/>
          <w:lang w:val="en-US" w:eastAsia="zh-CN"/>
        </w:rPr>
      </w:pPr>
      <w:r>
        <w:rPr>
          <w:rFonts w:hint="default"/>
          <w:lang w:val="en-US" w:eastAsia="zh-CN"/>
        </w:rPr>
        <w:t>学习如何解读数据分析报告和可视化图表。</w:t>
      </w:r>
    </w:p>
    <w:p>
      <w:pPr>
        <w:numPr>
          <w:numId w:val="0"/>
        </w:numPr>
        <w:jc w:val="both"/>
        <w:rPr>
          <w:rFonts w:hint="default"/>
          <w:lang w:val="en-US" w:eastAsia="zh-CN"/>
        </w:rPr>
      </w:pPr>
      <w:r>
        <w:rPr>
          <w:rFonts w:hint="default"/>
          <w:lang w:val="en-US" w:eastAsia="zh-CN"/>
        </w:rPr>
        <w:t>培养使用数据分析结果进行决策的能力。</w:t>
      </w:r>
    </w:p>
    <w:p>
      <w:pPr>
        <w:numPr>
          <w:numId w:val="0"/>
        </w:numPr>
        <w:jc w:val="both"/>
        <w:rPr>
          <w:rFonts w:hint="eastAsia"/>
          <w:lang w:val="en-US" w:eastAsia="zh-CN"/>
        </w:rPr>
      </w:pPr>
      <w:r>
        <w:rPr>
          <w:rFonts w:hint="eastAsia"/>
          <w:lang w:val="en-US" w:eastAsia="zh-CN"/>
        </w:rPr>
        <w:t>2.培训内容：</w:t>
      </w:r>
    </w:p>
    <w:p>
      <w:pPr>
        <w:numPr>
          <w:numId w:val="0"/>
        </w:numPr>
        <w:jc w:val="both"/>
        <w:rPr>
          <w:rFonts w:hint="eastAsia"/>
          <w:lang w:val="en-US" w:eastAsia="zh-CN"/>
        </w:rPr>
      </w:pPr>
      <w:r>
        <w:rPr>
          <w:rFonts w:hint="default"/>
          <w:lang w:val="en-US" w:eastAsia="zh-CN"/>
        </w:rPr>
        <w:t>数据分析基础与数据清洗和预处理</w:t>
      </w:r>
      <w:r>
        <w:rPr>
          <w:rFonts w:hint="eastAsia"/>
          <w:lang w:val="en-US" w:eastAsia="zh-CN"/>
        </w:rPr>
        <w:t>：介绍数据分析的基本概念、术语和方法。讲解数据清洗的重要性和基本流程，包括错误识别和数据转换。</w:t>
      </w:r>
    </w:p>
    <w:p>
      <w:pPr>
        <w:numPr>
          <w:numId w:val="0"/>
        </w:numPr>
        <w:jc w:val="both"/>
        <w:rPr>
          <w:rFonts w:hint="eastAsia"/>
          <w:lang w:val="en-US" w:eastAsia="zh-CN"/>
        </w:rPr>
      </w:pPr>
      <w:r>
        <w:rPr>
          <w:rFonts w:hint="eastAsia"/>
          <w:lang w:val="en-US" w:eastAsia="zh-CN"/>
        </w:rPr>
        <w:t>分析模型理解：介绍SARIMA模型和其他可能使用的统计模型，以及它们在销量预测中的应用。教授如何设计和解读数据分析报告，以及如何使用数据可视化工具。</w:t>
      </w:r>
    </w:p>
    <w:p>
      <w:pPr>
        <w:numPr>
          <w:numId w:val="0"/>
        </w:numPr>
        <w:jc w:val="both"/>
        <w:rPr>
          <w:rFonts w:hint="eastAsia"/>
          <w:lang w:val="en-US" w:eastAsia="zh-CN"/>
        </w:rPr>
      </w:pPr>
      <w:r>
        <w:rPr>
          <w:rFonts w:hint="eastAsia"/>
          <w:lang w:val="en-US" w:eastAsia="zh-CN"/>
        </w:rPr>
        <w:t>系统集成：明数据分析模块与数据可视化模块如何与ERP系统集成，以及如何确保数据的一致性和准确性。</w:t>
      </w:r>
    </w:p>
    <w:p>
      <w:pPr>
        <w:numPr>
          <w:numId w:val="0"/>
        </w:numPr>
        <w:jc w:val="both"/>
        <w:rPr>
          <w:rFonts w:hint="default"/>
          <w:lang w:val="en-US" w:eastAsia="zh-CN"/>
        </w:rPr>
      </w:pPr>
      <w:r>
        <w:rPr>
          <w:rFonts w:hint="eastAsia"/>
          <w:lang w:val="en-US" w:eastAsia="zh-CN"/>
        </w:rPr>
        <w:t>安全和合理性：强调数据保护法规的重要性，以及如何确保数据的安全和隐私。通过实际案例分析，展示数据分析在实际业务中的应用。</w:t>
      </w:r>
    </w:p>
    <w:p>
      <w:pPr>
        <w:numPr>
          <w:numId w:val="0"/>
        </w:numPr>
        <w:ind w:leftChars="0"/>
        <w:jc w:val="both"/>
        <w:rPr>
          <w:rFonts w:hint="eastAsia"/>
          <w:lang w:val="en-US" w:eastAsia="zh-CN"/>
        </w:rPr>
      </w:pPr>
      <w:r>
        <w:rPr>
          <w:rFonts w:hint="eastAsia"/>
          <w:lang w:val="en-US" w:eastAsia="zh-CN"/>
        </w:rPr>
        <w:t>3.培训方法：</w:t>
      </w:r>
    </w:p>
    <w:p>
      <w:pPr>
        <w:numPr>
          <w:numId w:val="0"/>
        </w:numPr>
        <w:ind w:leftChars="0"/>
        <w:jc w:val="both"/>
        <w:rPr>
          <w:rFonts w:hint="default"/>
          <w:lang w:val="en-US" w:eastAsia="zh-CN"/>
        </w:rPr>
      </w:pPr>
      <w:r>
        <w:rPr>
          <w:rFonts w:hint="eastAsia"/>
          <w:lang w:val="en-US" w:eastAsia="zh-CN"/>
        </w:rPr>
        <w:t>理论讲解：</w:t>
      </w:r>
      <w:r>
        <w:rPr>
          <w:rFonts w:hint="default"/>
          <w:lang w:val="en-US" w:eastAsia="zh-CN"/>
        </w:rPr>
        <w:t>在理论讲解环节，我们将通过PPT和视频资料深入讲解数据分析的基本原理和流程。PPT将包含数据分析的关键概念、数据类型、以及数据在决策过程中的作用。视频资料将展示数据清洗、转换和加载（ETL）的实际过程，以及如何使用统计方法进行数据分析。此外，我们还将介绍数据可视化的基本原则，帮助员工理解如何将数据转化为直观的图表和报告。</w:t>
      </w:r>
    </w:p>
    <w:p>
      <w:pPr>
        <w:numPr>
          <w:numId w:val="0"/>
        </w:numPr>
        <w:ind w:leftChars="0"/>
        <w:jc w:val="both"/>
        <w:rPr>
          <w:rFonts w:hint="eastAsia"/>
          <w:lang w:val="en-US" w:eastAsia="zh-CN"/>
        </w:rPr>
      </w:pPr>
      <w:r>
        <w:rPr>
          <w:rFonts w:hint="eastAsia"/>
          <w:lang w:val="en-US" w:eastAsia="zh-CN"/>
        </w:rPr>
        <w:t>实操演练：实操演练环节将提供一个模拟的数据分析环境，让员工亲自操作数据分析工具。在这个环节中，员工将学习如何使用数据挖掘工具进行数据探索，如何应用统计软件进行数据分析，以及如何利用数据可视化工具创建图表和仪表板。通过这些练习，员工将能够熟悉数据分析的实际操作流程，从而在实际工作中更加自信和高效地使用这些工具。</w:t>
      </w:r>
    </w:p>
    <w:p>
      <w:pPr>
        <w:numPr>
          <w:numId w:val="0"/>
        </w:numPr>
        <w:ind w:leftChars="0"/>
        <w:jc w:val="both"/>
        <w:rPr>
          <w:rFonts w:hint="eastAsia"/>
          <w:lang w:val="en-US" w:eastAsia="zh-CN"/>
        </w:rPr>
      </w:pPr>
      <w:r>
        <w:rPr>
          <w:rFonts w:hint="eastAsia"/>
          <w:lang w:val="en-US" w:eastAsia="zh-CN"/>
        </w:rPr>
        <w:t>角色扮演：角色扮演环节将模拟真实的业务场景，让员工扮演不同的业务角色，如市场分析师、销售经理或客户服务代表。在这个环节中，员工将面临各种数据分析相关的决策挑战，需要运用他们所学的数据分析技能来解决问题。这种互动式的学习方式将帮助员工理解数据分析在不同业务角色中的应用，以及如何将数据分析结果转化为有效的业务策略。</w:t>
      </w:r>
    </w:p>
    <w:p>
      <w:pPr>
        <w:numPr>
          <w:numId w:val="0"/>
        </w:numPr>
        <w:ind w:leftChars="0"/>
        <w:jc w:val="both"/>
        <w:rPr>
          <w:rFonts w:hint="eastAsia"/>
          <w:lang w:val="en-US" w:eastAsia="zh-CN"/>
        </w:rPr>
      </w:pPr>
      <w:r>
        <w:rPr>
          <w:rFonts w:hint="eastAsia"/>
          <w:lang w:val="en-US" w:eastAsia="zh-CN"/>
        </w:rPr>
        <w:t>案例分析：分析历史数据和案例，学习如何从数据中提取有价值的信息。</w:t>
      </w:r>
    </w:p>
    <w:p>
      <w:pPr>
        <w:numPr>
          <w:numId w:val="0"/>
        </w:numPr>
        <w:jc w:val="both"/>
        <w:rPr>
          <w:rFonts w:hint="default"/>
          <w:lang w:val="en-US" w:eastAsia="zh-CN"/>
        </w:rPr>
      </w:pPr>
      <w:bookmarkStart w:id="0" w:name="_GoBack"/>
      <w:bookmarkEnd w:id="0"/>
    </w:p>
    <w:p>
      <w:pPr>
        <w:numPr>
          <w:ilvl w:val="0"/>
          <w:numId w:val="3"/>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后续维护</w:t>
      </w:r>
    </w:p>
    <w:p>
      <w:pPr>
        <w:numPr>
          <w:numId w:val="0"/>
        </w:numPr>
        <w:ind w:leftChars="0"/>
        <w:jc w:val="both"/>
        <w:rPr>
          <w:rFonts w:hint="eastAsia"/>
          <w:lang w:val="en-US" w:eastAsia="zh-CN"/>
        </w:rPr>
      </w:pPr>
      <w:r>
        <w:rPr>
          <w:rFonts w:hint="eastAsia"/>
          <w:lang w:val="en-US" w:eastAsia="zh-CN"/>
        </w:rPr>
        <w:t>1.远程支持：我们提供远程支持服务，通过先进的远程访问技术，确保能够即时响应客户的技术支持需求。这种服务模式允许我们的技术支持团队在不影响客户正常业务操作的情况下，快速诊断并解决技术问题，从而最大限度地减少系统停机时间。</w:t>
      </w:r>
    </w:p>
    <w:p>
      <w:pPr>
        <w:numPr>
          <w:numId w:val="0"/>
        </w:numPr>
        <w:ind w:leftChars="0"/>
        <w:jc w:val="both"/>
        <w:rPr>
          <w:rFonts w:hint="eastAsia"/>
          <w:lang w:val="en-US" w:eastAsia="zh-CN"/>
        </w:rPr>
      </w:pPr>
      <w:r>
        <w:rPr>
          <w:rFonts w:hint="eastAsia"/>
          <w:lang w:val="en-US" w:eastAsia="zh-CN"/>
        </w:rPr>
        <w:t>2.现场服务：在远程支持无法解决问题或需要更深入的技术支持时，我们将派遣经验丰富的技术人员到客户现场进行维护和培训。现场服务包括系统检查、故障排除、硬件维护以及针对特定问题的定制培训，确保客户能够获得最直接和有效的帮助。</w:t>
      </w:r>
    </w:p>
    <w:p>
      <w:pPr>
        <w:numPr>
          <w:numId w:val="0"/>
        </w:numPr>
        <w:ind w:leftChars="0"/>
        <w:jc w:val="both"/>
        <w:rPr>
          <w:rFonts w:hint="eastAsia"/>
          <w:lang w:val="en-US" w:eastAsia="zh-CN"/>
        </w:rPr>
      </w:pPr>
      <w:r>
        <w:rPr>
          <w:rFonts w:hint="eastAsia"/>
          <w:lang w:val="en-US" w:eastAsia="zh-CN"/>
        </w:rPr>
        <w:t>3.定期检查：为了确保系统的稳定性和性能，我们将定期进行系统检查和维护。这包括对硬件、软件和网络环境的全面审查，以及对潜在问题的预防性维护。通过定期检查，我们可以及时发现并解决可能影响系统性能的问题，从而避免更大的故障发生。</w:t>
      </w:r>
    </w:p>
    <w:p>
      <w:pPr>
        <w:numPr>
          <w:numId w:val="0"/>
        </w:numPr>
        <w:ind w:leftChars="0"/>
        <w:jc w:val="both"/>
        <w:rPr>
          <w:rFonts w:hint="default"/>
          <w:lang w:val="en-US" w:eastAsia="zh-CN"/>
        </w:rPr>
      </w:pPr>
      <w:r>
        <w:rPr>
          <w:rFonts w:hint="eastAsia"/>
          <w:lang w:val="en-US" w:eastAsia="zh-CN"/>
        </w:rPr>
        <w:t xml:space="preserve">4.用户反馈：我们高度重视用户的反馈和建议，因此建立了一个用户反馈机制。通过这个机制，我们收集用户在使用产品过程中的体验、遇到的问题以及改进建议。这些宝贵的反馈将被用于不断改进我们的产品和服务，以更好地满足用户的需求和期望。.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6B1E9"/>
    <w:multiLevelType w:val="singleLevel"/>
    <w:tmpl w:val="C366B1E9"/>
    <w:lvl w:ilvl="0" w:tentative="0">
      <w:start w:val="5"/>
      <w:numFmt w:val="chineseCounting"/>
      <w:suff w:val="nothing"/>
      <w:lvlText w:val="%1、"/>
      <w:lvlJc w:val="left"/>
      <w:rPr>
        <w:rFonts w:hint="eastAsia"/>
      </w:rPr>
    </w:lvl>
  </w:abstractNum>
  <w:abstractNum w:abstractNumId="1">
    <w:nsid w:val="FA99005D"/>
    <w:multiLevelType w:val="singleLevel"/>
    <w:tmpl w:val="FA99005D"/>
    <w:lvl w:ilvl="0" w:tentative="0">
      <w:start w:val="1"/>
      <w:numFmt w:val="decimal"/>
      <w:suff w:val="space"/>
      <w:lvlText w:val="%1."/>
      <w:lvlJc w:val="left"/>
    </w:lvl>
  </w:abstractNum>
  <w:abstractNum w:abstractNumId="2">
    <w:nsid w:val="72B35CD5"/>
    <w:multiLevelType w:val="singleLevel"/>
    <w:tmpl w:val="72B35CD5"/>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iYTM0YWExN2VhMWU1MTI5ZDJjNjg4OTU2NTJkNWMifQ=="/>
    <w:docVar w:name="KSO_WPS_MARK_KEY" w:val="f0cd3648-c964-4266-88fe-c114c6064528"/>
  </w:docVars>
  <w:rsids>
    <w:rsidRoot w:val="00000000"/>
    <w:rsid w:val="08184F08"/>
    <w:rsid w:val="08F016C7"/>
    <w:rsid w:val="0E415563"/>
    <w:rsid w:val="162A3EAF"/>
    <w:rsid w:val="17CE1006"/>
    <w:rsid w:val="1BE87833"/>
    <w:rsid w:val="1E91399D"/>
    <w:rsid w:val="27814EF7"/>
    <w:rsid w:val="27FD076B"/>
    <w:rsid w:val="2A3B55AD"/>
    <w:rsid w:val="2BE36037"/>
    <w:rsid w:val="2FD1009E"/>
    <w:rsid w:val="307F5D4C"/>
    <w:rsid w:val="33837901"/>
    <w:rsid w:val="33DA14EB"/>
    <w:rsid w:val="344C4197"/>
    <w:rsid w:val="3E1B0B87"/>
    <w:rsid w:val="4B8C40DD"/>
    <w:rsid w:val="4FF5172F"/>
    <w:rsid w:val="52D7336D"/>
    <w:rsid w:val="541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3060</Words>
  <Characters>3102</Characters>
  <Lines>0</Lines>
  <Paragraphs>0</Paragraphs>
  <TotalTime>7</TotalTime>
  <ScaleCrop>false</ScaleCrop>
  <LinksUpToDate>false</LinksUpToDate>
  <CharactersWithSpaces>3153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2024-07-07T01:19:10Z</dcterms:created>
  <dc:creator>ooo</dc:creator>
  <cp:lastModifiedBy> </cp:lastModifiedBy>
  <dcterms:modified xsi:type="dcterms:W3CDTF">2024-07-07T02:02:03Z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89F44B55002C4633AA65D79B68E9C03D_12</vt:lpwstr>
  </property>
</Properties>
</file>