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5E7C"/>
          <w:spacing w:val="40"/>
          <w:sz w:val="20"/>
          <w:szCs w:val="20"/>
        </w:rPr>
        <w:t xml:space="preserve">MUFID UNION</w:t>
      </w:r>
    </w:p>
    <w:p>
      <w:pPr>
        <w:pBdr>
          <w:bottom w:val="single" w:color="0E5E7C" w:sz="12"/>
        </w:pBdr>
        <w:spacing w:after="100"/>
      </w:pPr>
      <w:r>
        <w:rPr>
          <w:b/>
          <w:bCs/>
          <w:color w:val="33454F"/>
          <w:sz w:val="44"/>
          <w:szCs w:val="44"/>
        </w:rPr>
        <w:t xml:space="preserve">Étude comparative</w:t>
      </w:r>
    </w:p>
    <w:p>
      <w:pPr>
        <w:spacing w:after="60" w:before="200"/>
      </w:pPr>
      <w:r>
        <w:rPr>
          <w:b/>
          <w:bCs/>
          <w:color w:val="0E5E7C"/>
          <w:sz w:val="24"/>
          <w:szCs w:val="24"/>
        </w:rPr>
        <w:t xml:space="preserve">Plateforme de reporting d'activités IT  ·  MUFID UNION</w:t>
      </w:r>
    </w:p>
    <w:p>
      <w:pPr>
        <w:spacing w:after="240"/>
      </w:pPr>
      <w:r>
        <w:rPr>
          <w:color w:val="5E717B"/>
          <w:sz w:val="24"/>
          <w:szCs w:val="24"/>
        </w:rPr>
        <w:t xml:space="preserve">comparée à KanbanFlow</w:t>
      </w:r>
    </w:p>
    <w:p>
      <w:pPr>
        <w:spacing w:after="100" w:before="0" w:line="300"/>
      </w:pPr>
      <w:r>
        <w:rPr>
          <w:b/>
          <w:bCs/>
          <w:i w:val="false"/>
          <w:iCs w:val="false"/>
          <w:color w:val="33454F"/>
          <w:sz w:val="21"/>
          <w:szCs w:val="21"/>
        </w:rPr>
        <w:t xml:space="preserve">Objet : </w:t>
      </w:r>
      <w:r>
        <w:rPr>
          <w:i w:val="false"/>
          <w:iCs w:val="false"/>
          <w:color w:val="33454F"/>
          <w:sz w:val="21"/>
          <w:szCs w:val="21"/>
        </w:rPr>
        <w:t xml:space="preserve">déterminer si un outil du marché (KanbanFlow) pourrait remplacer la plateforme développée en interne, ou si celle-ci répond à un besoin que le marché ne couvre pas.</w:t>
      </w:r>
    </w:p>
    <w:p>
      <w:pPr>
        <w:spacing w:after="100" w:before="0" w:line="300"/>
      </w:pPr>
      <w:r>
        <w:rPr>
          <w:b/>
          <w:bCs/>
          <w:i w:val="false"/>
          <w:iCs w:val="false"/>
          <w:color w:val="33454F"/>
          <w:sz w:val="21"/>
          <w:szCs w:val="21"/>
        </w:rPr>
        <w:t xml:space="preserve">Destinataires : </w:t>
      </w:r>
      <w:r>
        <w:rPr>
          <w:i w:val="false"/>
          <w:iCs w:val="false"/>
          <w:color w:val="33454F"/>
          <w:sz w:val="21"/>
          <w:szCs w:val="21"/>
        </w:rPr>
        <w:t xml:space="preserve">Direction du Système d'Information — Direction Générale.</w:t>
      </w:r>
    </w:p>
    <w:p>
      <w:pPr>
        <w:spacing w:after="240" w:before="0" w:line="300"/>
      </w:pPr>
      <w:r>
        <w:rPr>
          <w:b/>
          <w:bCs/>
          <w:i w:val="false"/>
          <w:iCs w:val="false"/>
          <w:color w:val="33454F"/>
          <w:sz w:val="21"/>
          <w:szCs w:val="21"/>
        </w:rPr>
        <w:t xml:space="preserve">Date : </w:t>
      </w:r>
      <w:r>
        <w:rPr>
          <w:i w:val="false"/>
          <w:iCs w:val="false"/>
          <w:color w:val="33454F"/>
          <w:sz w:val="21"/>
          <w:szCs w:val="21"/>
        </w:rPr>
        <w:t xml:space="preserve">26 septembre 2026.</w:t>
      </w:r>
    </w:p>
    <w:tbl>
      <w:tblPr>
        <w:tblW w:type="dxa" w:w="9638"/>
        <w:tblBorders>
          <w:top w:val="single" w:color="EFE3C8" w:sz="4"/>
          <w:left w:val="single" w:color="B4750E" w:sz="24"/>
          <w:bottom w:val="single" w:color="EFE3C8" w:sz="4"/>
          <w:right w:val="single" w:color="EFE3C8" w:sz="4"/>
          <w:insideH w:val="single" w:color="auto" w:sz="4"/>
          <w:insideV w:val="single" w:color="auto" w:sz="4"/>
        </w:tblBorders>
      </w:tblPr>
      <w:tblGrid>
        <w:gridCol w:w="9638"/>
      </w:tblGrid>
      <w:tr>
        <w:tc>
          <w:tcPr>
            <w:tcW w:type="dxa" w:w="9638"/>
            <w:shd w:fill="FDF8EE" w:color="auto" w:val="clear"/>
            <w:tcMar>
              <w:top w:type="dxa" w:w="140"/>
              <w:left w:type="dxa" w:w="200"/>
              <w:bottom w:type="dxa" w:w="140"/>
              <w:right w:type="dxa" w:w="200"/>
            </w:tcMar>
          </w:tcPr>
          <w:p>
            <w:pPr>
              <w:spacing w:after="80" w:line="280"/>
            </w:pPr>
            <w:r>
              <w:rPr>
                <w:b/>
                <w:bCs/>
                <w:color w:val="B4750E"/>
                <w:sz w:val="21"/>
                <w:szCs w:val="21"/>
              </w:rPr>
              <w:t xml:space="preserve">Réserve méthodologique</w:t>
            </w:r>
          </w:p>
          <w:p>
            <w:pPr>
              <w:spacing w:after="0" w:line="280"/>
            </w:pPr>
            <w:r>
              <w:rPr>
                <w:color w:val="33454F"/>
                <w:sz w:val="20"/>
                <w:szCs w:val="20"/>
              </w:rPr>
              <w:t xml:space="preserve">Les caractéristiques de KanbanFlow décrites ici reposent sur une connaissance du produit arrêtée à mai 2026. Il s'agit d'un outil stable et ancien, mais les tarifs et le détail des fonctionnalités doivent être vérifiés sur kanbanflow.com avant toute décision engageante.</w:t>
            </w:r>
          </w:p>
          <w:p>
            <w:pPr>
              <w:spacing w:after="0" w:line="280"/>
            </w:pPr>
            <w:r>
              <w:rPr>
                <w:color w:val="33454F"/>
                <w:sz w:val="20"/>
                <w:szCs w:val="20"/>
              </w:rPr>
              <w:t xml:space="preserve">Les caractéristiques de MUFID UNION sont établies à partir du code source de la plateforme, à sa version du 26 septembre 2026.</w:t>
            </w:r>
          </w:p>
        </w:tc>
      </w:tr>
    </w:tbl>
    <w:p>
      <w:pPr>
        <w:spacing w:after="300"/>
      </w:pPr>
    </w:p>
    <w:p>
      <w:pPr>
        <w:pStyle w:val="Heading1"/>
        <w:spacing w:after="180" w:before="400"/>
      </w:pPr>
      <w:r>
        <w:rPr>
          <w:b/>
          <w:bCs/>
          <w:color w:val="0E5E7C"/>
          <w:sz w:val="30"/>
          <w:szCs w:val="30"/>
        </w:rPr>
        <w:t xml:space="preserve">1.  Deux outils de familles différentes</w:t>
      </w:r>
    </w:p>
    <w:p>
      <w:pPr>
        <w:spacing w:after="140" w:before="0" w:line="300"/>
      </w:pPr>
      <w:r>
        <w:rPr>
          <w:i w:val="false"/>
          <w:iCs w:val="false"/>
          <w:color w:val="33454F"/>
          <w:sz w:val="21"/>
          <w:szCs w:val="21"/>
        </w:rPr>
        <w:t xml:space="preserve">C'est la conclusion la plus importante de cette étude, et elle conditionne tout le reste.</w:t>
      </w:r>
    </w:p>
    <w:p>
      <w:pPr>
        <w:spacing w:after="140" w:before="0" w:line="300"/>
      </w:pPr>
      <w:r>
        <w:rPr>
          <w:b/>
          <w:bCs/>
          <w:i w:val="false"/>
          <w:iCs w:val="false"/>
          <w:color w:val="33454F"/>
          <w:sz w:val="21"/>
          <w:szCs w:val="21"/>
        </w:rPr>
        <w:t xml:space="preserve">KanbanFlow est un tableau de tâches d'équipe</w:t>
      </w:r>
      <w:r>
        <w:rPr>
          <w:i w:val="false"/>
          <w:iCs w:val="false"/>
          <w:color w:val="33454F"/>
          <w:sz w:val="21"/>
          <w:szCs w:val="21"/>
        </w:rPr>
        <w:t xml:space="preserve"> doublé d'une excellente gestion du temps. Son objectif : voir le travail circuler et mesurer combien de temps il consomme.</w:t>
      </w:r>
    </w:p>
    <w:p>
      <w:pPr>
        <w:spacing w:after="140" w:before="0" w:line="300"/>
      </w:pPr>
      <w:r>
        <w:rPr>
          <w:b/>
          <w:bCs/>
          <w:i w:val="false"/>
          <w:iCs w:val="false"/>
          <w:color w:val="33454F"/>
          <w:sz w:val="21"/>
          <w:szCs w:val="21"/>
        </w:rPr>
        <w:t xml:space="preserve">MUFID UNION est un système de reporting d'activité informatique</w:t>
      </w:r>
      <w:r>
        <w:rPr>
          <w:i w:val="false"/>
          <w:iCs w:val="false"/>
          <w:color w:val="33454F"/>
          <w:sz w:val="21"/>
          <w:szCs w:val="21"/>
        </w:rPr>
        <w:t xml:space="preserve">, complété depuis peu d'un module de gestion de projet. Son objectif : produire la trace formelle de ce qu'a fait le service informatique, par agent, par département et par période.</w:t>
      </w:r>
    </w:p>
    <w:p>
      <w:pPr>
        <w:spacing w:after="140" w:before="0" w:line="300"/>
      </w:pPr>
      <w:r>
        <w:rPr>
          <w:i w:val="false"/>
          <w:iCs w:val="false"/>
          <w:color w:val="33454F"/>
          <w:sz w:val="21"/>
          <w:szCs w:val="21"/>
        </w:rPr>
        <w:t xml:space="preserve">Les comparer frontalement n'a de sens que </w:t>
      </w:r>
      <w:r>
        <w:rPr>
          <w:b/>
          <w:bCs/>
          <w:i w:val="false"/>
          <w:iCs w:val="false"/>
          <w:color w:val="33454F"/>
          <w:sz w:val="21"/>
          <w:szCs w:val="21"/>
        </w:rPr>
        <w:t xml:space="preserve">sur leur zone de recouvrement</w:t>
      </w:r>
      <w:r>
        <w:rPr>
          <w:i w:val="false"/>
          <w:iCs w:val="false"/>
          <w:color w:val="33454F"/>
          <w:sz w:val="21"/>
          <w:szCs w:val="21"/>
        </w:rPr>
        <w:t xml:space="preserve"> — le tableau kanban. Sur le reste, ils ne jouent pas le même match.</w:t>
      </w:r>
    </w:p>
    <w:p>
      <w:pPr>
        <w:spacing w:after="160"/>
      </w:pPr>
    </w:p>
    <w:p>
      <w:pPr>
        <w:pStyle w:val="Heading1"/>
        <w:spacing w:after="180" w:before="400"/>
      </w:pPr>
      <w:r>
        <w:rPr>
          <w:b/>
          <w:bCs/>
          <w:color w:val="0E5E7C"/>
          <w:sz w:val="30"/>
          <w:szCs w:val="30"/>
        </w:rPr>
        <w:t xml:space="preserve">2.  Comparaison par domaine</w:t>
      </w:r>
    </w:p>
    <w:tbl>
      <w:tblPr>
        <w:tblW w:type="dxa" w:w="9638"/>
        <w:tblBorders>
          <w:top w:val="single" w:color="D8E0E3" w:sz="4"/>
          <w:left w:val="single" w:color="D8E0E3" w:sz="4"/>
          <w:bottom w:val="single" w:color="D8E0E3" w:sz="4"/>
          <w:right w:val="single" w:color="D8E0E3" w:sz="4"/>
          <w:insideH w:val="single" w:color="auto" w:sz="4"/>
          <w:insideV w:val="single" w:color="auto" w:sz="4"/>
        </w:tblBorders>
      </w:tblPr>
      <w:tblGrid>
        <w:gridCol w:w="2000"/>
        <w:gridCol w:w="3819"/>
        <w:gridCol w:w="3819"/>
      </w:tblGrid>
      <w:tr>
        <w:trPr>
          <w:tblHeader/>
        </w:trPr>
        <w:tc>
          <w:tcPr>
            <w:tcW w:type="dxa" w:w="2000"/>
            <w:shd w:fill="0E5E7C" w:color="auto" w:val="clear"/>
            <w:tcMar>
              <w:top w:type="dxa" w:w="90"/>
              <w:left w:type="dxa" w:w="140"/>
              <w:bottom w:type="dxa" w:w="90"/>
              <w:right w:type="dxa" w:w="140"/>
            </w:tcMar>
          </w:tcPr>
          <w:p>
            <w:pPr>
              <w:spacing w:after="0" w:before="0" w:line="260"/>
            </w:pPr>
            <w:r>
              <w:rPr>
                <w:b/>
                <w:bCs/>
                <w:color w:val="FFFFFF"/>
                <w:sz w:val="18"/>
                <w:szCs w:val="18"/>
              </w:rPr>
              <w:t xml:space="preserve">Domaine</w:t>
            </w:r>
          </w:p>
        </w:tc>
        <w:tc>
          <w:tcPr>
            <w:tcW w:type="dxa" w:w="3819"/>
            <w:shd w:fill="0E5E7C" w:color="auto" w:val="clear"/>
            <w:tcMar>
              <w:top w:type="dxa" w:w="90"/>
              <w:left w:type="dxa" w:w="140"/>
              <w:bottom w:type="dxa" w:w="90"/>
              <w:right w:type="dxa" w:w="140"/>
            </w:tcMar>
          </w:tcPr>
          <w:p>
            <w:pPr>
              <w:spacing w:after="0" w:before="0" w:line="260"/>
            </w:pPr>
            <w:r>
              <w:rPr>
                <w:b/>
                <w:bCs/>
                <w:color w:val="FFFFFF"/>
                <w:sz w:val="18"/>
                <w:szCs w:val="18"/>
              </w:rPr>
              <w:t xml:space="preserve">KanbanFlow</w:t>
            </w:r>
          </w:p>
        </w:tc>
        <w:tc>
          <w:tcPr>
            <w:tcW w:type="dxa" w:w="3819"/>
            <w:shd w:fill="0E5E7C" w:color="auto" w:val="clear"/>
            <w:tcMar>
              <w:top w:type="dxa" w:w="90"/>
              <w:left w:type="dxa" w:w="140"/>
              <w:bottom w:type="dxa" w:w="90"/>
              <w:right w:type="dxa" w:w="140"/>
            </w:tcMar>
          </w:tcPr>
          <w:p>
            <w:pPr>
              <w:spacing w:after="0" w:before="0" w:line="260"/>
            </w:pPr>
            <w:r>
              <w:rPr>
                <w:b/>
                <w:bCs/>
                <w:color w:val="FFFFFF"/>
                <w:sz w:val="18"/>
                <w:szCs w:val="18"/>
              </w:rPr>
              <w:t xml:space="preserve">MUFID UNION</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Tableau kanban</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Mature : colonnes, couloirs (swimlanes), limites de travail en cours, glisser-déposer rodé.</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Colonnes libres par projet, glisser-déposer, colonne d'achèvement. Ni couloirs ni limites de travail en cours.</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Suivi du temps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Minuteur Pomodoro et chronomètre, rapports de temps détaillés.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Durée déclarative, saisie en minutes. Aucun chronomètre.</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Planification</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Dates d'échéance et vue calendrier.</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Diagramme de Gantt, jalons, plan de charge. Pas de vue calendrier.</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Analyse du flux</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Diagramme de flux cumulé, délai de traitement, temps de cycle.</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Avancement, santé du projet, retards. Pas d'analyse de flux kanban.</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Reporting formel</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Exports de données brutes (CSV).</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Rapports individuels et consolidés en PDF, Word et Excel, fusion des rubriques, en-tête par département.</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Rôles et droits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Droits de tableau simples.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Quatre rôles, douze permissions granulaires, cloisonnement par département, périmètre multi-départements pour le superviseur.</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Charge de travail</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Temps passé par personne.</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Système de points normalisé (40 h = 5 points) et heures estimées, comparables entre agents.</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Circuit hiérarchique</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Assignation simple d'une tâche à une personne.</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Affectation, réaffectation motivée, clôture validée par l'administration, traçabilité de l'auteur de l'affectation.</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Objectifs</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Sous-tâches à cocher.</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Objectifs chiffrés, pourcentage d'atteinte déduit, justification d'écart obligatoire.</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Récurrence</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Tâches récurrentes.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Quotidienne, hebdomadaire ou mensuelle, sur jours ouvrés uniquement (week-ends exclus).</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Pièces jointes</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Stockées sur les serveurs de l'éditeur.</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Sur le NAS de l'entreprise, rangées par rubrique, nom d'origine conservé, figées à la clôture.</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Notifications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Courriel et notifications mobiles.</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Courriel, avec une boîte d'envoi propre à chaque département. Pas de notification mobile.</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Mobilité</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Applications natives iOS et Android.</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Interface web adaptative, sans application dédiée.</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Hébergement</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Service en ligne, sur les serveurs de l'éditeur (Europe).</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Auto-hébergé sur le serveur de MUFID UNION.</w:t>
            </w:r>
          </w:p>
        </w:tc>
      </w:tr>
      <w:tr>
        <w:tc>
          <w:tcPr>
            <w:tcW w:type="dxa" w:w="2000"/>
            <w:shd w:fill="FFFFFF" w:color="auto" w:val="clear"/>
            <w:tcMar>
              <w:top w:type="dxa" w:w="90"/>
              <w:left w:type="dxa" w:w="140"/>
              <w:bottom w:type="dxa" w:w="90"/>
              <w:right w:type="dxa" w:w="140"/>
            </w:tcMar>
          </w:tcPr>
          <w:p>
            <w:pPr>
              <w:spacing w:after="0" w:before="0" w:line="260"/>
            </w:pPr>
            <w:r>
              <w:rPr>
                <w:b/>
                <w:bCs/>
                <w:color w:val="33454F"/>
                <w:sz w:val="18"/>
                <w:szCs w:val="18"/>
              </w:rPr>
              <w:t xml:space="preserve">Maintenance</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Aucune : entièrement prise en charge par l'éditeur.</w:t>
            </w:r>
          </w:p>
        </w:tc>
        <w:tc>
          <w:tcPr>
            <w:tcW w:type="dxa" w:w="3819"/>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À la charge de l'entreprise : sauvegardes, mises à jour, serveur.</w:t>
            </w:r>
          </w:p>
        </w:tc>
      </w:tr>
      <w:tr>
        <w:tc>
          <w:tcPr>
            <w:tcW w:type="dxa" w:w="2000"/>
            <w:shd w:fill="F2F6F7" w:color="auto" w:val="clear"/>
            <w:tcMar>
              <w:top w:type="dxa" w:w="90"/>
              <w:left w:type="dxa" w:w="140"/>
              <w:bottom w:type="dxa" w:w="90"/>
              <w:right w:type="dxa" w:w="140"/>
            </w:tcMar>
          </w:tcPr>
          <w:p>
            <w:pPr>
              <w:spacing w:after="0" w:before="0" w:line="260"/>
            </w:pPr>
            <w:r>
              <w:rPr>
                <w:b/>
                <w:bCs/>
                <w:color w:val="33454F"/>
                <w:sz w:val="18"/>
                <w:szCs w:val="18"/>
              </w:rPr>
              <w:t xml:space="preserve">Coût</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Abonnement mensuel par utilisateur (environ 5 USD en formule Premium, à vérifier).</w:t>
            </w:r>
          </w:p>
        </w:tc>
        <w:tc>
          <w:tcPr>
            <w:tcW w:type="dxa" w:w="3819"/>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Serveur déjà en place : coût marginal proche de zéro.</w:t>
            </w:r>
          </w:p>
        </w:tc>
      </w:tr>
    </w:tbl>
    <w:p>
      <w:pPr>
        <w:spacing w:after="300"/>
      </w:pPr>
    </w:p>
    <w:p>
      <w:pPr>
        <w:pStyle w:val="Heading1"/>
        <w:spacing w:after="180" w:before="400"/>
      </w:pPr>
      <w:r>
        <w:rPr>
          <w:b/>
          <w:bCs/>
          <w:color w:val="0E5E7C"/>
          <w:sz w:val="30"/>
          <w:szCs w:val="30"/>
        </w:rPr>
        <w:t xml:space="preserve">3.  Ce que KanbanFlow fait franchement mieux</w:t>
      </w:r>
    </w:p>
    <w:p>
      <w:pPr>
        <w:spacing w:after="140" w:before="0" w:line="300"/>
      </w:pPr>
      <w:r>
        <w:rPr>
          <w:i w:val="false"/>
          <w:iCs w:val="false"/>
          <w:color w:val="33454F"/>
          <w:sz w:val="21"/>
          <w:szCs w:val="21"/>
        </w:rPr>
        <w:t xml:space="preserve">Il faut le reconnaître sans détour : sur cinq points, l'outil du marché est supérieur.</w:t>
      </w:r>
    </w:p>
    <w:p>
      <w:pPr>
        <w:pStyle w:val="ListParagraph"/>
        <w:numPr>
          <w:ilvl w:val="0"/>
          <w:numId w:val="2"/>
        </w:numPr>
        <w:spacing w:after="100" w:before="0" w:line="290"/>
      </w:pPr>
      <w:r>
        <w:rPr>
          <w:b/>
          <w:bCs/>
          <w:color w:val="33454F"/>
          <w:sz w:val="21"/>
          <w:szCs w:val="21"/>
        </w:rPr>
        <w:t xml:space="preserve">La maturité. </w:t>
      </w:r>
      <w:r>
        <w:rPr>
          <w:color w:val="33454F"/>
          <w:sz w:val="21"/>
          <w:szCs w:val="21"/>
        </w:rPr>
        <w:t xml:space="preserve">Dix ans d'exploitation et des milliers d'équipes utilisatrices : les défauts ont été corrigés depuis longtemps. Notre module de gestion de projet, lui, a quelques semaines et n'a encore jamais tourné en production.</w:t>
      </w:r>
    </w:p>
    <w:p>
      <w:pPr>
        <w:pStyle w:val="ListParagraph"/>
        <w:numPr>
          <w:ilvl w:val="0"/>
          <w:numId w:val="2"/>
        </w:numPr>
        <w:spacing w:after="100" w:before="0" w:line="290"/>
      </w:pPr>
      <w:r>
        <w:rPr>
          <w:b/>
          <w:bCs/>
          <w:color w:val="33454F"/>
          <w:sz w:val="21"/>
          <w:szCs w:val="21"/>
        </w:rPr>
        <w:t xml:space="preserve">Le suivi du temps réel. </w:t>
      </w:r>
      <w:r>
        <w:rPr>
          <w:color w:val="33454F"/>
          <w:sz w:val="21"/>
          <w:szCs w:val="21"/>
        </w:rPr>
        <w:t xml:space="preserve">Le minuteur Pomodoro est sa signature : il mesure le temps effectivement passé. Chez nous, l'agent déclare une durée, ce qui est structurellement moins fiable.</w:t>
      </w:r>
    </w:p>
    <w:p>
      <w:pPr>
        <w:pStyle w:val="ListParagraph"/>
        <w:numPr>
          <w:ilvl w:val="0"/>
          <w:numId w:val="2"/>
        </w:numPr>
        <w:spacing w:after="100" w:before="0" w:line="290"/>
      </w:pPr>
      <w:r>
        <w:rPr>
          <w:b/>
          <w:bCs/>
          <w:color w:val="33454F"/>
          <w:sz w:val="21"/>
          <w:szCs w:val="21"/>
        </w:rPr>
        <w:t xml:space="preserve">Les applications mobiles natives. </w:t>
      </w:r>
      <w:r>
        <w:rPr>
          <w:color w:val="33454F"/>
          <w:sz w:val="21"/>
          <w:szCs w:val="21"/>
        </w:rPr>
        <w:t xml:space="preserve">Un technicien en intervention sort son téléphone et met sa tâche à jour. Notre interface web adaptative reste utilisable, mais n'est pas équivalente.</w:t>
      </w:r>
    </w:p>
    <w:p>
      <w:pPr>
        <w:pStyle w:val="ListParagraph"/>
        <w:numPr>
          <w:ilvl w:val="0"/>
          <w:numId w:val="2"/>
        </w:numPr>
        <w:spacing w:after="100" w:before="0" w:line="290"/>
      </w:pPr>
      <w:r>
        <w:rPr>
          <w:b/>
          <w:bCs/>
          <w:color w:val="33454F"/>
          <w:sz w:val="21"/>
          <w:szCs w:val="21"/>
        </w:rPr>
        <w:t xml:space="preserve">L'analyse de flux. </w:t>
      </w:r>
      <w:r>
        <w:rPr>
          <w:color w:val="33454F"/>
          <w:sz w:val="21"/>
          <w:szCs w:val="21"/>
        </w:rPr>
        <w:t xml:space="preserve">Le diagramme de flux cumulé et le temps de cycle sont les véritables indicateurs d'une démarche kanban. Nous ne les proposons pas.</w:t>
      </w:r>
    </w:p>
    <w:p>
      <w:pPr>
        <w:pStyle w:val="ListParagraph"/>
        <w:numPr>
          <w:ilvl w:val="0"/>
          <w:numId w:val="2"/>
        </w:numPr>
        <w:spacing w:after="100" w:before="0" w:line="290"/>
      </w:pPr>
      <w:r>
        <w:rPr>
          <w:b/>
          <w:bCs/>
          <w:color w:val="33454F"/>
          <w:sz w:val="21"/>
          <w:szCs w:val="21"/>
        </w:rPr>
        <w:t xml:space="preserve">L'absence de maintenance. </w:t>
      </w:r>
      <w:r>
        <w:rPr>
          <w:color w:val="33454F"/>
          <w:sz w:val="21"/>
          <w:szCs w:val="21"/>
        </w:rPr>
        <w:t xml:space="preserve">Aucun serveur à administrer, aucune sauvegarde à surveiller, aucune mise à jour à déployer. C'est une charge que notre solution transfère à l'entreprise.</w:t>
      </w:r>
    </w:p>
    <w:p>
      <w:pPr>
        <w:spacing w:after="200"/>
      </w:pPr>
    </w:p>
    <w:p>
      <w:pPr>
        <w:pStyle w:val="Heading1"/>
        <w:spacing w:after="180" w:before="400"/>
      </w:pPr>
      <w:r>
        <w:rPr>
          <w:b/>
          <w:bCs/>
          <w:color w:val="0E5E7C"/>
          <w:sz w:val="30"/>
          <w:szCs w:val="30"/>
        </w:rPr>
        <w:t xml:space="preserve">4.  Ce que KanbanFlow ne peut pas faire</w:t>
      </w:r>
    </w:p>
    <w:p>
      <w:pPr>
        <w:pStyle w:val="ListParagraph"/>
        <w:numPr>
          <w:ilvl w:val="0"/>
          <w:numId w:val="2"/>
        </w:numPr>
        <w:spacing w:after="100" w:before="0" w:line="290"/>
      </w:pPr>
      <w:r>
        <w:rPr>
          <w:b/>
          <w:bCs/>
          <w:color w:val="33454F"/>
          <w:sz w:val="21"/>
          <w:szCs w:val="21"/>
        </w:rPr>
        <w:t xml:space="preserve">Produire vos rapports d'activité. </w:t>
      </w:r>
      <w:r>
        <w:rPr>
          <w:color w:val="33454F"/>
          <w:sz w:val="21"/>
          <w:szCs w:val="21"/>
        </w:rPr>
        <w:t xml:space="preserve">C'est le besoin qui a fait naître ce projet. KanbanFlow n'a aucune notion de rapport hebdomadaire individuel ni de rapport consolidé par département, exportable en Word pour signature. Il exporte des données brutes ; il ne produit pas de document.</w:t>
      </w:r>
    </w:p>
    <w:p>
      <w:pPr>
        <w:pStyle w:val="ListParagraph"/>
        <w:numPr>
          <w:ilvl w:val="0"/>
          <w:numId w:val="2"/>
        </w:numPr>
        <w:spacing w:after="100" w:before="0" w:line="290"/>
      </w:pPr>
      <w:r>
        <w:rPr>
          <w:b/>
          <w:bCs/>
          <w:color w:val="33454F"/>
          <w:sz w:val="21"/>
          <w:szCs w:val="21"/>
        </w:rPr>
        <w:t xml:space="preserve">Respecter votre organisation. </w:t>
      </w:r>
      <w:r>
        <w:rPr>
          <w:color w:val="33454F"/>
          <w:sz w:val="21"/>
          <w:szCs w:val="21"/>
        </w:rPr>
        <w:t xml:space="preserve">Le cloisonnement par département, la distinction entre administrateur, superviseur et super administrateur, les droits attribués au cas par cas : ce modèle n'existe pas dans un outil de tableau généraliste.</w:t>
      </w:r>
    </w:p>
    <w:p>
      <w:pPr>
        <w:pStyle w:val="ListParagraph"/>
        <w:numPr>
          <w:ilvl w:val="0"/>
          <w:numId w:val="2"/>
        </w:numPr>
        <w:spacing w:after="100" w:before="0" w:line="290"/>
      </w:pPr>
      <w:r>
        <w:rPr>
          <w:b/>
          <w:bCs/>
          <w:color w:val="33454F"/>
          <w:sz w:val="21"/>
          <w:szCs w:val="21"/>
        </w:rPr>
        <w:t xml:space="preserve">Garder les données chez vous. </w:t>
      </w:r>
      <w:r>
        <w:rPr>
          <w:color w:val="33454F"/>
          <w:sz w:val="21"/>
          <w:szCs w:val="21"/>
        </w:rPr>
        <w:t xml:space="preserve">Pour un établissement de microfinance placé sous la supervision de la COBAC, le fait que la trace d'activité du service informatique réside sur des serveurs tiers, hors de la zone CEMAC, constitue un sujet à part entière. L'auto-hébergement ferme la question.</w:t>
      </w:r>
    </w:p>
    <w:p>
      <w:pPr>
        <w:pStyle w:val="ListParagraph"/>
        <w:numPr>
          <w:ilvl w:val="0"/>
          <w:numId w:val="2"/>
        </w:numPr>
        <w:spacing w:after="100" w:before="0" w:line="290"/>
      </w:pPr>
      <w:r>
        <w:rPr>
          <w:b/>
          <w:bCs/>
          <w:color w:val="33454F"/>
          <w:sz w:val="21"/>
          <w:szCs w:val="21"/>
        </w:rPr>
        <w:t xml:space="preserve">Ranger les fichiers sur votre NAS. </w:t>
      </w:r>
      <w:r>
        <w:rPr>
          <w:color w:val="33454F"/>
          <w:sz w:val="21"/>
          <w:szCs w:val="21"/>
        </w:rPr>
        <w:t xml:space="preserve">Avec gel à la clôture, c'est-à-dire une pièce jointe qui devient inaltérable une fois la tâche validée. Il s'agit d'une logique d'archivage, et non de partage de fichiers.</w:t>
      </w:r>
    </w:p>
    <w:p>
      <w:pPr>
        <w:pStyle w:val="ListParagraph"/>
        <w:numPr>
          <w:ilvl w:val="0"/>
          <w:numId w:val="2"/>
        </w:numPr>
        <w:spacing w:after="100" w:before="0" w:line="290"/>
      </w:pPr>
      <w:r>
        <w:rPr>
          <w:b/>
          <w:bCs/>
          <w:color w:val="33454F"/>
          <w:sz w:val="21"/>
          <w:szCs w:val="21"/>
        </w:rPr>
        <w:t xml:space="preserve">Évoluer à la demande. </w:t>
      </w:r>
      <w:r>
        <w:rPr>
          <w:color w:val="33454F"/>
          <w:sz w:val="21"/>
          <w:szCs w:val="21"/>
        </w:rPr>
        <w:t xml:space="preserve">En quelques semaines : rôle de superviseur, objectifs chiffrés, module de gestion de projet complet, exclusion des week-ends. Aucun éditeur de logiciel en ligne ne réalisera ces adaptations pour un client.</w:t>
      </w:r>
    </w:p>
    <w:p>
      <w:pPr>
        <w:spacing w:after="200"/>
      </w:pPr>
    </w:p>
    <w:p>
      <w:pPr>
        <w:pStyle w:val="Heading1"/>
        <w:spacing w:after="180" w:before="400"/>
      </w:pPr>
      <w:r>
        <w:rPr>
          <w:b/>
          <w:bCs/>
          <w:color w:val="0E5E7C"/>
          <w:sz w:val="30"/>
          <w:szCs w:val="30"/>
        </w:rPr>
        <w:t xml:space="preserve">5.  Coût comparé sur trois ans</w:t>
      </w:r>
    </w:p>
    <w:p>
      <w:pPr>
        <w:spacing w:after="140" w:before="0" w:line="300"/>
      </w:pPr>
      <w:r>
        <w:rPr>
          <w:i w:val="false"/>
          <w:iCs w:val="false"/>
          <w:color w:val="33454F"/>
          <w:sz w:val="21"/>
          <w:szCs w:val="21"/>
        </w:rPr>
        <w:t xml:space="preserve">Hypothèse retenue : une équipe de dix utilisateurs et un abonnement Premium d'environ 5 USD par utilisateur et par mois, soit approximativement 3 000 FCFA.</w:t>
      </w:r>
    </w:p>
    <w:tbl>
      <w:tblPr>
        <w:tblW w:type="dxa" w:w="9638"/>
        <w:tblBorders>
          <w:top w:val="single" w:color="D8E0E3" w:sz="4"/>
          <w:left w:val="single" w:color="D8E0E3" w:sz="4"/>
          <w:bottom w:val="single" w:color="D8E0E3" w:sz="4"/>
          <w:right w:val="single" w:color="D8E0E3" w:sz="4"/>
          <w:insideH w:val="single" w:color="auto" w:sz="4"/>
          <w:insideV w:val="single" w:color="auto" w:sz="4"/>
        </w:tblBorders>
      </w:tblPr>
      <w:tblGrid>
        <w:gridCol w:w="3638"/>
        <w:gridCol w:w="3000"/>
        <w:gridCol w:w="3000"/>
      </w:tblGrid>
      <w:tr>
        <w:trPr>
          <w:tblHeader/>
        </w:trPr>
        <w:tc>
          <w:tcPr>
            <w:tcW w:type="dxa" w:w="3638"/>
            <w:shd w:fill="0E5E7C" w:color="auto" w:val="clear"/>
            <w:tcMar>
              <w:top w:type="dxa" w:w="90"/>
              <w:left w:type="dxa" w:w="140"/>
              <w:bottom w:type="dxa" w:w="90"/>
              <w:right w:type="dxa" w:w="140"/>
            </w:tcMar>
          </w:tcPr>
          <w:p>
            <w:pPr>
              <w:spacing w:after="0" w:before="0" w:line="260"/>
            </w:pPr>
            <w:r>
              <w:rPr>
                <w:b/>
                <w:bCs/>
                <w:color w:val="FFFFFF"/>
                <w:sz w:val="18"/>
                <w:szCs w:val="18"/>
              </w:rPr>
              <w:t xml:space="preserve">Horizon</w:t>
            </w:r>
          </w:p>
        </w:tc>
        <w:tc>
          <w:tcPr>
            <w:tcW w:type="dxa" w:w="3000"/>
            <w:shd w:fill="0E5E7C" w:color="auto" w:val="clear"/>
            <w:tcMar>
              <w:top w:type="dxa" w:w="90"/>
              <w:left w:type="dxa" w:w="140"/>
              <w:bottom w:type="dxa" w:w="90"/>
              <w:right w:type="dxa" w:w="140"/>
            </w:tcMar>
          </w:tcPr>
          <w:p>
            <w:pPr>
              <w:spacing w:after="0" w:before="0" w:line="260"/>
            </w:pPr>
            <w:r>
              <w:rPr>
                <w:b/>
                <w:bCs/>
                <w:color w:val="FFFFFF"/>
                <w:sz w:val="18"/>
                <w:szCs w:val="18"/>
              </w:rPr>
              <w:t xml:space="preserve">KanbanFlow Premium</w:t>
            </w:r>
          </w:p>
        </w:tc>
        <w:tc>
          <w:tcPr>
            <w:tcW w:type="dxa" w:w="3000"/>
            <w:shd w:fill="0E5E7C" w:color="auto" w:val="clear"/>
            <w:tcMar>
              <w:top w:type="dxa" w:w="90"/>
              <w:left w:type="dxa" w:w="140"/>
              <w:bottom w:type="dxa" w:w="90"/>
              <w:right w:type="dxa" w:w="140"/>
            </w:tcMar>
          </w:tcPr>
          <w:p>
            <w:pPr>
              <w:spacing w:after="0" w:before="0" w:line="260"/>
            </w:pPr>
            <w:r>
              <w:rPr>
                <w:b/>
                <w:bCs/>
                <w:color w:val="FFFFFF"/>
                <w:sz w:val="18"/>
                <w:szCs w:val="18"/>
              </w:rPr>
              <w:t xml:space="preserve">MUFID UNION</w:t>
            </w:r>
          </w:p>
        </w:tc>
      </w:tr>
      <w:tr>
        <w:tc>
          <w:tcPr>
            <w:tcW w:type="dxa" w:w="3638"/>
            <w:shd w:fill="FFFFFF" w:color="auto" w:val="clear"/>
            <w:tcMar>
              <w:top w:type="dxa" w:w="90"/>
              <w:left w:type="dxa" w:w="140"/>
              <w:bottom w:type="dxa" w:w="90"/>
              <w:right w:type="dxa" w:w="140"/>
            </w:tcMar>
          </w:tcPr>
          <w:p>
            <w:pPr>
              <w:spacing w:after="0" w:before="0" w:line="260"/>
            </w:pPr>
            <w:r>
              <w:rPr>
                <w:b/>
                <w:bCs/>
                <w:color w:val="33454F"/>
                <w:sz w:val="18"/>
                <w:szCs w:val="18"/>
              </w:rPr>
              <w:t xml:space="preserve">Première année</w:t>
            </w:r>
          </w:p>
        </w:tc>
        <w:tc>
          <w:tcPr>
            <w:tcW w:type="dxa" w:w="3000"/>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environ 360 000 FCFA</w:t>
            </w:r>
          </w:p>
        </w:tc>
        <w:tc>
          <w:tcPr>
            <w:tcW w:type="dxa" w:w="3000"/>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0 (serveur existant)</w:t>
            </w:r>
          </w:p>
        </w:tc>
      </w:tr>
      <w:tr>
        <w:tc>
          <w:tcPr>
            <w:tcW w:type="dxa" w:w="3638"/>
            <w:shd w:fill="F2F6F7" w:color="auto" w:val="clear"/>
            <w:tcMar>
              <w:top w:type="dxa" w:w="90"/>
              <w:left w:type="dxa" w:w="140"/>
              <w:bottom w:type="dxa" w:w="90"/>
              <w:right w:type="dxa" w:w="140"/>
            </w:tcMar>
          </w:tcPr>
          <w:p>
            <w:pPr>
              <w:spacing w:after="0" w:before="0" w:line="260"/>
            </w:pPr>
            <w:r>
              <w:rPr>
                <w:b/>
                <w:bCs/>
                <w:color w:val="33454F"/>
                <w:sz w:val="18"/>
                <w:szCs w:val="18"/>
              </w:rPr>
              <w:t xml:space="preserve">Cumul sur trois ans</w:t>
            </w:r>
          </w:p>
        </w:tc>
        <w:tc>
          <w:tcPr>
            <w:tcW w:type="dxa" w:w="3000"/>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environ 1 080 000 FCFA</w:t>
            </w:r>
          </w:p>
        </w:tc>
        <w:tc>
          <w:tcPr>
            <w:tcW w:type="dxa" w:w="3000"/>
            <w:shd w:fill="F2F6F7" w:color="auto" w:val="clear"/>
            <w:tcMar>
              <w:top w:type="dxa" w:w="90"/>
              <w:left w:type="dxa" w:w="140"/>
              <w:bottom w:type="dxa" w:w="90"/>
              <w:right w:type="dxa" w:w="140"/>
            </w:tcMar>
          </w:tcPr>
          <w:p>
            <w:pPr>
              <w:spacing w:after="0" w:before="0" w:line="260"/>
            </w:pPr>
            <w:r>
              <w:rPr>
                <w:b w:val="false"/>
                <w:bCs w:val="false"/>
                <w:color w:val="33454F"/>
                <w:sz w:val="18"/>
                <w:szCs w:val="18"/>
              </w:rPr>
              <w:t xml:space="preserve">0, hors temps d'administration</w:t>
            </w:r>
          </w:p>
        </w:tc>
      </w:tr>
      <w:tr>
        <w:tc>
          <w:tcPr>
            <w:tcW w:type="dxa" w:w="3638"/>
            <w:shd w:fill="FFFFFF" w:color="auto" w:val="clear"/>
            <w:tcMar>
              <w:top w:type="dxa" w:w="90"/>
              <w:left w:type="dxa" w:w="140"/>
              <w:bottom w:type="dxa" w:w="90"/>
              <w:right w:type="dxa" w:w="140"/>
            </w:tcMar>
          </w:tcPr>
          <w:p>
            <w:pPr>
              <w:spacing w:after="0" w:before="0" w:line="260"/>
            </w:pPr>
            <w:r>
              <w:rPr>
                <w:b/>
                <w:bCs/>
                <w:color w:val="33454F"/>
                <w:sz w:val="18"/>
                <w:szCs w:val="18"/>
              </w:rPr>
              <w:t xml:space="preserve">Cumul sur trois ans, 25 utilisateurs</w:t>
            </w:r>
          </w:p>
        </w:tc>
        <w:tc>
          <w:tcPr>
            <w:tcW w:type="dxa" w:w="3000"/>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environ 2 700 000 FCFA</w:t>
            </w:r>
          </w:p>
        </w:tc>
        <w:tc>
          <w:tcPr>
            <w:tcW w:type="dxa" w:w="3000"/>
            <w:shd w:fill="FFFFFF" w:color="auto" w:val="clear"/>
            <w:tcMar>
              <w:top w:type="dxa" w:w="90"/>
              <w:left w:type="dxa" w:w="140"/>
              <w:bottom w:type="dxa" w:w="90"/>
              <w:right w:type="dxa" w:w="140"/>
            </w:tcMar>
          </w:tcPr>
          <w:p>
            <w:pPr>
              <w:spacing w:after="0" w:before="0" w:line="260"/>
            </w:pPr>
            <w:r>
              <w:rPr>
                <w:b w:val="false"/>
                <w:bCs w:val="false"/>
                <w:color w:val="33454F"/>
                <w:sz w:val="18"/>
                <w:szCs w:val="18"/>
              </w:rPr>
              <w:t xml:space="preserve">inchangé</w:t>
            </w:r>
          </w:p>
        </w:tc>
      </w:tr>
    </w:tbl>
    <w:p>
      <w:pPr>
        <w:spacing w:after="160"/>
      </w:pPr>
    </w:p>
    <w:p>
      <w:pPr>
        <w:spacing w:after="140" w:before="0" w:line="300"/>
      </w:pPr>
      <w:r>
        <w:rPr>
          <w:i w:val="false"/>
          <w:iCs w:val="false"/>
          <w:color w:val="33454F"/>
          <w:sz w:val="21"/>
          <w:szCs w:val="21"/>
        </w:rPr>
        <w:t xml:space="preserve">L'écart déterminant ne se situe pas dans le prix de départ, mais dans la </w:t>
      </w:r>
      <w:r>
        <w:rPr>
          <w:b/>
          <w:bCs/>
          <w:i w:val="false"/>
          <w:iCs w:val="false"/>
          <w:color w:val="33454F"/>
          <w:sz w:val="21"/>
          <w:szCs w:val="21"/>
        </w:rPr>
        <w:t xml:space="preserve">progression de la dépense</w:t>
      </w:r>
      <w:r>
        <w:rPr>
          <w:i w:val="false"/>
          <w:iCs w:val="false"/>
          <w:color w:val="33454F"/>
          <w:sz w:val="21"/>
          <w:szCs w:val="21"/>
        </w:rPr>
        <w:t xml:space="preserve"> : l'abonnement croît avec l'effectif, l'auto-hébergement non.</w:t>
      </w:r>
    </w:p>
    <w:p>
      <w:pPr>
        <w:spacing w:after="200"/>
      </w:pPr>
    </w:p>
    <w:p>
      <w:pPr>
        <w:pStyle w:val="Heading1"/>
        <w:spacing w:after="180" w:before="400"/>
      </w:pPr>
      <w:r>
        <w:rPr>
          <w:b/>
          <w:bCs/>
          <w:color w:val="0E5E7C"/>
          <w:sz w:val="30"/>
          <w:szCs w:val="30"/>
        </w:rPr>
        <w:t xml:space="preserve">6.  Conclusion et recommandation</w:t>
      </w:r>
    </w:p>
    <w:p>
      <w:pPr>
        <w:spacing w:after="140" w:before="0" w:line="300"/>
      </w:pPr>
      <w:r>
        <w:rPr>
          <w:b/>
          <w:bCs/>
          <w:i w:val="false"/>
          <w:iCs w:val="false"/>
          <w:color w:val="33454F"/>
          <w:sz w:val="21"/>
          <w:szCs w:val="21"/>
        </w:rPr>
        <w:t xml:space="preserve">Si le besoin se limitait à organiser les tâches de l'équipe</w:t>
      </w:r>
      <w:r>
        <w:rPr>
          <w:i w:val="false"/>
          <w:iCs w:val="false"/>
          <w:color w:val="33454F"/>
          <w:sz w:val="21"/>
          <w:szCs w:val="21"/>
        </w:rPr>
        <w:t xml:space="preserve">, KanbanFlow serait le choix rationnel : plus mûr, disponible en mobilité, sans maintenance, et son abonnement serait rapidement amorti face au coût d'un développement interne.</w:t>
      </w:r>
    </w:p>
    <w:p>
      <w:pPr>
        <w:spacing w:after="140" w:before="0" w:line="300"/>
      </w:pPr>
      <w:r>
        <w:rPr>
          <w:b/>
          <w:bCs/>
          <w:i w:val="false"/>
          <w:iCs w:val="false"/>
          <w:color w:val="33454F"/>
          <w:sz w:val="21"/>
          <w:szCs w:val="21"/>
        </w:rPr>
        <w:t xml:space="preserve">Mais ce n'est pas le besoin exprimé. </w:t>
      </w:r>
      <w:r>
        <w:rPr>
          <w:i w:val="false"/>
          <w:iCs w:val="false"/>
          <w:color w:val="33454F"/>
          <w:sz w:val="21"/>
          <w:szCs w:val="21"/>
        </w:rPr>
        <w:t xml:space="preserve">Le besoin est de produire la trace formelle et exportable de l'activité informatique, cloisonnée par département, au sein d'un établissement supervisé. Sur ce terrain, KanbanFlow n'est pas un concurrent : c'est un outil d'une autre catégorie.</w:t>
      </w:r>
    </w:p>
    <w:p>
      <w:pPr>
        <w:spacing w:after="60"/>
      </w:pPr>
    </w:p>
    <w:tbl>
      <w:tblPr>
        <w:tblW w:type="dxa" w:w="9638"/>
        <w:tblBorders>
          <w:top w:val="single" w:color="C8E4D4" w:sz="4"/>
          <w:left w:val="single" w:color="1B8A4B" w:sz="24"/>
          <w:bottom w:val="single" w:color="C8E4D4" w:sz="4"/>
          <w:right w:val="single" w:color="C8E4D4" w:sz="4"/>
          <w:insideH w:val="single" w:color="auto" w:sz="4"/>
          <w:insideV w:val="single" w:color="auto" w:sz="4"/>
        </w:tblBorders>
      </w:tblPr>
      <w:tblGrid>
        <w:gridCol w:w="9638"/>
      </w:tblGrid>
      <w:tr>
        <w:tc>
          <w:tcPr>
            <w:tcW w:type="dxa" w:w="9638"/>
            <w:shd w:fill="EFF8F2" w:color="auto" w:val="clear"/>
            <w:tcMar>
              <w:top w:type="dxa" w:w="160"/>
              <w:left w:type="dxa" w:w="200"/>
              <w:bottom w:type="dxa" w:w="160"/>
              <w:right w:type="dxa" w:w="200"/>
            </w:tcMar>
          </w:tcPr>
          <w:p>
            <w:pPr>
              <w:spacing w:after="80" w:line="280"/>
            </w:pPr>
            <w:r>
              <w:rPr>
                <w:b/>
                <w:bCs/>
                <w:color w:val="1B8A4B"/>
                <w:sz w:val="22"/>
                <w:szCs w:val="22"/>
              </w:rPr>
              <w:t xml:space="preserve">Recommandation</w:t>
            </w:r>
          </w:p>
          <w:p>
            <w:pPr>
              <w:spacing w:after="0" w:line="290"/>
            </w:pPr>
            <w:r>
              <w:rPr>
                <w:color w:val="33454F"/>
                <w:sz w:val="21"/>
                <w:szCs w:val="21"/>
              </w:rPr>
              <w:t xml:space="preserve">Conserver MUFID UNION comme socle du reporting d'activité et de la gestion de projet du service informatique. La plateforme répond à un besoin que le marché ne couvre pas pour le contexte réglementaire et organisationnel de l'établissement.</w:t>
            </w:r>
          </w:p>
        </w:tc>
      </w:tr>
    </w:tbl>
    <w:p>
      <w:pPr>
        <w:spacing w:after="300"/>
      </w:pPr>
    </w:p>
    <w:p>
      <w:pPr>
        <w:pStyle w:val="Heading1"/>
        <w:spacing w:after="180" w:before="400"/>
      </w:pPr>
      <w:r>
        <w:rPr>
          <w:b/>
          <w:bCs/>
          <w:color w:val="0E5E7C"/>
          <w:sz w:val="30"/>
          <w:szCs w:val="30"/>
        </w:rPr>
        <w:t xml:space="preserve">7.  Améliorations à envisager, inspirées de KanbanFlow</w:t>
      </w:r>
    </w:p>
    <w:p>
      <w:pPr>
        <w:spacing w:after="140" w:before="0" w:line="300"/>
      </w:pPr>
      <w:r>
        <w:rPr>
          <w:i w:val="false"/>
          <w:iCs w:val="false"/>
          <w:color w:val="33454F"/>
          <w:sz w:val="21"/>
          <w:szCs w:val="21"/>
        </w:rPr>
        <w:t xml:space="preserve">Par ordre croissant d'effort de développement :</w:t>
      </w:r>
    </w:p>
    <w:p>
      <w:pPr>
        <w:pStyle w:val="ListParagraph"/>
        <w:numPr>
          <w:ilvl w:val="0"/>
          <w:numId w:val="3"/>
        </w:numPr>
        <w:spacing w:after="100" w:before="0" w:line="290"/>
      </w:pPr>
      <w:r>
        <w:rPr>
          <w:b/>
          <w:bCs/>
          <w:color w:val="33454F"/>
          <w:sz w:val="21"/>
          <w:szCs w:val="21"/>
        </w:rPr>
        <w:t xml:space="preserve">Limites de travail en cours par colonne. </w:t>
      </w:r>
      <w:r>
        <w:rPr>
          <w:color w:val="33454F"/>
          <w:sz w:val="21"/>
          <w:szCs w:val="21"/>
        </w:rPr>
        <w:t xml:space="preserve">Un seuil visuel signalant qu'une colonne se charge trop. Effort faible, valeur managériale réelle.</w:t>
      </w:r>
    </w:p>
    <w:p>
      <w:pPr>
        <w:pStyle w:val="ListParagraph"/>
        <w:numPr>
          <w:ilvl w:val="0"/>
          <w:numId w:val="3"/>
        </w:numPr>
        <w:spacing w:after="100" w:before="0" w:line="290"/>
      </w:pPr>
      <w:r>
        <w:rPr>
          <w:b/>
          <w:bCs/>
          <w:color w:val="33454F"/>
          <w:sz w:val="21"/>
          <w:szCs w:val="21"/>
        </w:rPr>
        <w:t xml:space="preserve">Vue calendrier des échéances, </w:t>
      </w:r>
      <w:r>
        <w:rPr>
          <w:color w:val="33454F"/>
          <w:sz w:val="21"/>
          <w:szCs w:val="21"/>
        </w:rPr>
        <w:t xml:space="preserve">en complément du diagramme de Gantt. Effort moyen.</w:t>
      </w:r>
    </w:p>
    <w:p>
      <w:pPr>
        <w:pStyle w:val="ListParagraph"/>
        <w:numPr>
          <w:ilvl w:val="0"/>
          <w:numId w:val="3"/>
        </w:numPr>
        <w:spacing w:after="100" w:before="0" w:line="290"/>
      </w:pPr>
      <w:r>
        <w:rPr>
          <w:b/>
          <w:bCs/>
          <w:color w:val="33454F"/>
          <w:sz w:val="21"/>
          <w:szCs w:val="21"/>
        </w:rPr>
        <w:t xml:space="preserve">Diagramme de flux cumulé </w:t>
      </w:r>
      <w:r>
        <w:rPr>
          <w:color w:val="33454F"/>
          <w:sz w:val="21"/>
          <w:szCs w:val="21"/>
        </w:rPr>
        <w:t xml:space="preserve">sur les projets, afin de repérer les goulots d'étranglement. Effort moyen.</w:t>
      </w:r>
    </w:p>
    <w:p>
      <w:pPr>
        <w:pStyle w:val="ListParagraph"/>
        <w:numPr>
          <w:ilvl w:val="0"/>
          <w:numId w:val="3"/>
        </w:numPr>
        <w:spacing w:after="100" w:before="0" w:line="290"/>
      </w:pPr>
      <w:r>
        <w:rPr>
          <w:b/>
          <w:bCs/>
          <w:color w:val="33454F"/>
          <w:sz w:val="21"/>
          <w:szCs w:val="21"/>
        </w:rPr>
        <w:t xml:space="preserve">Couloirs (swimlanes) </w:t>
      </w:r>
      <w:r>
        <w:rPr>
          <w:color w:val="33454F"/>
          <w:sz w:val="21"/>
          <w:szCs w:val="21"/>
        </w:rPr>
        <w:t xml:space="preserve">par agent ou par jalon sur le tableau. Effort moyen.</w:t>
      </w:r>
    </w:p>
    <w:p>
      <w:pPr>
        <w:pStyle w:val="ListParagraph"/>
        <w:numPr>
          <w:ilvl w:val="0"/>
          <w:numId w:val="3"/>
        </w:numPr>
        <w:spacing w:after="100" w:before="0" w:line="290"/>
      </w:pPr>
      <w:r>
        <w:rPr>
          <w:b/>
          <w:bCs/>
          <w:color w:val="33454F"/>
          <w:sz w:val="21"/>
          <w:szCs w:val="21"/>
        </w:rPr>
        <w:t xml:space="preserve">Minuteur de saisie facultatif </w:t>
      </w:r>
      <w:r>
        <w:rPr>
          <w:color w:val="33454F"/>
          <w:sz w:val="21"/>
          <w:szCs w:val="21"/>
        </w:rPr>
        <w:t xml:space="preserve">préremplissant la durée déclarée, afin de fiabiliser le calcul des points sans l'imposer. Effort moyen, gain de fiabilité important.</w:t>
      </w:r>
    </w:p>
    <w:p>
      <w:pPr>
        <w:spacing w:after="120"/>
      </w:pPr>
    </w:p>
    <w:p>
      <w:pPr>
        <w:spacing w:after="140" w:before="0" w:line="300"/>
      </w:pPr>
      <w:r>
        <w:rPr>
          <w:b/>
          <w:bCs/>
          <w:i w:val="false"/>
          <w:iCs w:val="false"/>
          <w:color w:val="C0392B"/>
          <w:sz w:val="21"/>
          <w:szCs w:val="21"/>
        </w:rPr>
        <w:t xml:space="preserve">Point écarté : </w:t>
      </w:r>
      <w:r>
        <w:rPr>
          <w:i w:val="false"/>
          <w:iCs w:val="false"/>
          <w:color w:val="33454F"/>
          <w:sz w:val="21"/>
          <w:szCs w:val="21"/>
        </w:rPr>
        <w:t xml:space="preserve">le développement d'applications mobiles natives. Le coût serait disproportionné au regard du bénéfice, pour une équipe interne travaillant sur le réseau de l'entreprise.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4"/>
      </w:pBdr>
      <w:spacing w:before="120"/>
      <w:jc w:val="center"/>
    </w:pPr>
    <w:r>
      <w:rPr>
        <w:color w:val="5E717B"/>
        <w:sz w:val="16"/>
        <w:szCs w:val="16"/>
      </w:rPr>
      <w:t xml:space="preserve">MUFID UNION  ·  Étude comparative avec KanbanFlow  ·  Page </w:t>
    </w:r>
    <w:r>
      <w:rPr>
        <w:color w:val="5E717B"/>
        <w:sz w:val="16"/>
        <w:szCs w:val="16"/>
      </w:rPr>
      <w:fldChar w:fldCharType="begin"/>
      <w:instrText xml:space="preserve">PAGE</w:instrText>
      <w:fldChar w:fldCharType="separate"/>
      <w:fldChar w:fldCharType="end"/>
    </w:r>
    <w:r>
      <w:rPr>
        <w:color w:val="5E717B"/>
        <w:sz w:val="16"/>
        <w:szCs w:val="16"/>
      </w:rPr>
      <w:t xml:space="preserve"> / </w:t>
    </w:r>
    <w:r>
      <w:rPr>
        <w:color w:val="5E71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E5E7C"/>
      </w:rPr>
    </w:lvl>
  </w:abstractNum>
  <w:abstractNum w:abstractNumId="3" w15:restartNumberingAfterBreak="0">
    <w:multiLevelType w:val="hybridMultilevel"/>
    <w:lvl w:ilvl="0" w15:tentative="1">
      <w:start w:val="1"/>
      <w:numFmt w:val="decimal"/>
      <w:lvlText w:val="%1."/>
      <w:lvlJc w:val="left"/>
      <w:pPr>
        <w:ind w:left="489" w:hanging="316"/>
      </w:pPr>
      <w:rPr>
        <w:b/>
        <w:bCs/>
        <w:color w:val="0E5E7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54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comparative — MUFID UNION / KanbanFlow</dc:title>
  <dc:creator>MUFID UNION — Direction du Système d'Information</dc:creator>
  <dc:description>Comparaison de la plateforme interne de reporting d'activités IT avec l'outil KanbanFlow.</dc:description>
  <cp:lastModifiedBy>Un-named</cp:lastModifiedBy>
  <cp:revision>1</cp:revision>
  <dcterms:created xsi:type="dcterms:W3CDTF">2026-09-26T00:00:13.820Z</dcterms:created>
  <dcterms:modified xsi:type="dcterms:W3CDTF">2026-09-26T00:00:13.821Z</dcterms:modified>
</cp:coreProperties>
</file>

<file path=docProps/custom.xml><?xml version="1.0" encoding="utf-8"?>
<Properties xmlns="http://schemas.openxmlformats.org/officeDocument/2006/custom-properties" xmlns:vt="http://schemas.openxmlformats.org/officeDocument/2006/docPropsVTypes"/>
</file>