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6324F" w:sz="12" w:space="6"/>
        </w:pBdr>
        <w:spacing w:after="60"/>
      </w:pPr>
      <w:r>
        <w:rPr>
          <w:rFonts w:ascii="Georgia" w:cs="Georgia" w:eastAsia="Georgia" w:hAnsi="Georgia"/>
          <w:b/>
          <w:bCs/>
          <w:color w:val="16324F"/>
          <w:sz w:val="36"/>
          <w:szCs w:val="36"/>
        </w:rPr>
        <w:t xml:space="preserve">Scaletta — check iniziale gratuito (30 minuti)</w:t>
      </w:r>
    </w:p>
    <w:p>
      <w:pPr>
        <w:spacing w:after="240"/>
      </w:pPr>
      <w:r>
        <w:rPr>
          <w:i/>
          <w:iCs/>
          <w:color w:val="6B6B6B"/>
          <w:sz w:val="20"/>
          <w:szCs w:val="20"/>
        </w:rPr>
        <w:t xml:space="preserve">Cliente: </w:t>
      </w:r>
      <w:r>
        <w:rPr>
          <w:i/>
          <w:iCs/>
          <w:color w:val="6B6B6B"/>
          <w:sz w:val="20"/>
          <w:szCs w:val="20"/>
        </w:rPr>
        <w:t xml:space="preserve">[Nome azienda]</w:t>
      </w:r>
      <w:r>
        <w:rPr>
          <w:i/>
          <w:iCs/>
          <w:color w:val="6B6B6B"/>
          <w:sz w:val="20"/>
          <w:szCs w:val="20"/>
        </w:rPr>
        <w:t xml:space="preserve"> · Referente incontrato: </w:t>
      </w:r>
      <w:r>
        <w:rPr>
          <w:i/>
          <w:iCs/>
          <w:color w:val="6B6B6B"/>
          <w:sz w:val="20"/>
          <w:szCs w:val="20"/>
        </w:rPr>
        <w:t xml:space="preserve">[Nome, ruolo]</w:t>
      </w:r>
      <w:r>
        <w:rPr>
          <w:i/>
          <w:iCs/>
          <w:color w:val="6B6B6B"/>
          <w:sz w:val="20"/>
          <w:szCs w:val="20"/>
        </w:rPr>
        <w:t xml:space="preserve"> · Data: </w:t>
      </w:r>
      <w:r>
        <w:rPr>
          <w:i/>
          <w:iCs/>
          <w:color w:val="6B6B6B"/>
          <w:sz w:val="20"/>
          <w:szCs w:val="20"/>
        </w:rPr>
        <w:t xml:space="preserve">[Data]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Obiettivo dell’incontro</w:t>
      </w:r>
    </w:p>
    <w:p>
      <w:pPr>
        <w:spacing w:after="160"/>
      </w:pPr>
      <w:r>
        <w:rPr>
          <w:sz w:val="22"/>
          <w:szCs w:val="22"/>
        </w:rPr>
        <w:t xml:space="preserve">Capire se c’è un progetto da avviare, senza vendere nulla in questa fase: raccogliere abbastanza per proporre un percorso su misura.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Scaletta (indicativa, 30’)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Apertura (3’) — cosa sa già l’azienda sulla normativa AI, da dove arriva l’interesse (segnalazione commercialista / post LinkedIn / passaparola)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Mappatura rapida (10’): quali strumenti AI usate oggi, anche informalmente? Chi li usa, su quali attività? Avete già una policy, un referente, formazione fatta? Avete clienti/fornitori che vi chiedono garanzie su questo?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Rischi percepiti (5’) — cosa preoccupa di più: sanzioni, dati riservati, immagine verso i clienti, altro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Spiegazione del percorso (7’) — le quattro tappe (censimento, policy, referente, formazione) e perché valgono anche a prescindere dalla norma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Chiusura (5’) — se c’è interesse, prossimo passo (proposta scritta); se non è il momento, lasciare la brochure e restare disponibili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Da annotare durante/dopo l’incontro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Numero indicativo di dipendenti e reparti coinvolti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Strumenti AI già nominati dal cliente (base di partenza per il censimento)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Livello di urgenza percepito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Chi sarà probabilmente il referente interno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Prossima azione concordata e data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2026-10-30T08:06:22.766Z</dcterms:created>
  <dcterms:modified xsi:type="dcterms:W3CDTF">2026-10-30T08:06:22.781Z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