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6324F" w:sz="12" w:space="6"/>
        </w:pBdr>
        <w:spacing w:after="60"/>
      </w:pPr>
      <w:r>
        <w:rPr>
          <w:rFonts w:ascii="Georgia" w:cs="Georgia" w:eastAsia="Georgia" w:hAnsi="Georgia"/>
          <w:b/>
          <w:bCs/>
          <w:color w:val="16324F"/>
          <w:sz w:val="36"/>
          <w:szCs w:val="36"/>
        </w:rPr>
        <w:t xml:space="preserve">Checklist — pratiche vietate e classificazione del rischio</w:t>
      </w:r>
    </w:p>
    <w:p>
      <w:pPr>
        <w:spacing w:after="240"/>
      </w:pPr>
      <w:r>
        <w:rPr>
          <w:i/>
          <w:iCs/>
          <w:color w:val="6B6B6B"/>
          <w:sz w:val="20"/>
          <w:szCs w:val="20"/>
        </w:rPr>
        <w:t xml:space="preserve">Cliente: </w:t>
      </w:r>
      <w:r>
        <w:rPr>
          <w:i/>
          <w:iCs/>
          <w:color w:val="6B6B6B"/>
          <w:sz w:val="20"/>
          <w:szCs w:val="20"/>
        </w:rPr>
        <w:t xml:space="preserve">[Nome azienda]</w:t>
      </w:r>
      <w:r>
        <w:rPr>
          <w:i/>
          <w:iCs/>
          <w:color w:val="6B6B6B"/>
          <w:sz w:val="20"/>
          <w:szCs w:val="20"/>
        </w:rPr>
        <w:t xml:space="preserve"> · Data: </w:t>
      </w:r>
      <w:r>
        <w:rPr>
          <w:i/>
          <w:iCs/>
          <w:color w:val="6B6B6B"/>
          <w:sz w:val="20"/>
          <w:szCs w:val="20"/>
        </w:rPr>
        <w:t xml:space="preserve">[Data]</w:t>
      </w:r>
    </w:p>
    <w:p>
      <w:pPr>
        <w:spacing w:after="160"/>
      </w:pPr>
      <w:r>
        <w:rPr>
          <w:sz w:val="22"/>
          <w:szCs w:val="22"/>
        </w:rPr>
        <w:t xml:space="preserve">Da compilare per ciascuno strumento del registro di censimento (01-censimento-strumenti-ai).</w:t>
      </w:r>
    </w:p>
    <w:p>
      <w:pPr>
        <w:spacing w:after="120" w:before="200"/>
      </w:pPr>
      <w:r>
        <w:rPr>
          <w:i/>
          <w:iCs/>
          <w:color w:val="6B6B6B"/>
          <w:sz w:val="18"/>
          <w:szCs w:val="18"/>
        </w:rPr>
        <w:t xml:space="preserve">Nota: la classificazione di rischio del Regolamento (UE) AI Act si basa su categorie generali (pratiche vietate, sistemi ad alto rischio, rischio limitato, rischio minimo). Per i casi non evidenti — in particolare un sospetto di pratica vietata, o un uso che potrebbe ricadere nell’alto rischio — la qualificazione finale va confermata con un legale/DPO prima di comunicarla al cliente come definitiva.</w:t>
      </w:r>
    </w:p>
    <w:p>
      <w:pPr>
        <w:pStyle w:val="Heading2"/>
        <w:spacing w:after="100" w:before="280"/>
      </w:pPr>
      <w:r>
        <w:rPr>
          <w:rFonts w:ascii="Georgia" w:cs="Georgia" w:eastAsia="Georgia" w:hAnsi="Georgia"/>
          <w:b/>
          <w:bCs/>
          <w:color w:val="16324F"/>
          <w:sz w:val="26"/>
          <w:szCs w:val="26"/>
        </w:rPr>
        <w:t xml:space="preserve">Parte A — Esclusione pratiche vietate</w:t>
      </w:r>
    </w:p>
    <w:p>
      <w:pPr>
        <w:spacing w:after="160"/>
      </w:pPr>
      <w:r>
        <w:rPr>
          <w:sz w:val="22"/>
          <w:szCs w:val="22"/>
        </w:rPr>
        <w:t xml:space="preserve">Per ogni strumento, verificare che l’uso non rientri in pratiche esplicitamente vietate, tra cui tipicamente:</w:t>
      </w:r>
    </w:p>
    <w:p>
      <w:pPr>
        <w:spacing w:after="80"/>
        <w:ind w:left="200"/>
      </w:pPr>
      <w:r>
        <w:rPr>
          <w:sz w:val="22"/>
          <w:szCs w:val="22"/>
        </w:rPr>
        <w:t xml:space="preserve">☐  </w:t>
      </w:r>
      <w:r>
        <w:rPr>
          <w:sz w:val="22"/>
          <w:szCs w:val="22"/>
        </w:rPr>
        <w:t xml:space="preserve">Manipolazione subliminale o ingannevole dei comportamenti delle persone, con pregiudizio significativo</w:t>
      </w:r>
    </w:p>
    <w:p>
      <w:pPr>
        <w:spacing w:after="80"/>
        <w:ind w:left="200"/>
      </w:pPr>
      <w:r>
        <w:rPr>
          <w:sz w:val="22"/>
          <w:szCs w:val="22"/>
        </w:rPr>
        <w:t xml:space="preserve">☐  </w:t>
      </w:r>
      <w:r>
        <w:rPr>
          <w:sz w:val="22"/>
          <w:szCs w:val="22"/>
        </w:rPr>
        <w:t xml:space="preserve">Sfruttamento di vulnerabilità di specifici gruppi (età, disabilità, condizione sociale/economica)</w:t>
      </w:r>
    </w:p>
    <w:p>
      <w:pPr>
        <w:spacing w:after="80"/>
        <w:ind w:left="200"/>
      </w:pPr>
      <w:r>
        <w:rPr>
          <w:sz w:val="22"/>
          <w:szCs w:val="22"/>
        </w:rPr>
        <w:t xml:space="preserve">☐  </w:t>
      </w:r>
      <w:r>
        <w:rPr>
          <w:sz w:val="22"/>
          <w:szCs w:val="22"/>
        </w:rPr>
        <w:t xml:space="preserve">Social scoring (valutazione/classificazione delle persone su comportamento sociale, con effetti pregiudizievoli e sproporzionati)</w:t>
      </w:r>
    </w:p>
    <w:p>
      <w:pPr>
        <w:spacing w:after="80"/>
        <w:ind w:left="200"/>
      </w:pPr>
      <w:r>
        <w:rPr>
          <w:sz w:val="22"/>
          <w:szCs w:val="22"/>
        </w:rPr>
        <w:t xml:space="preserve">☐  </w:t>
      </w:r>
      <w:r>
        <w:rPr>
          <w:sz w:val="22"/>
          <w:szCs w:val="22"/>
        </w:rPr>
        <w:t xml:space="preserve">Identificazione biometrica remota "in tempo reale" in spazi pubblici a fini di contrasto (salvo eccezioni di legge)</w:t>
      </w:r>
    </w:p>
    <w:p>
      <w:pPr>
        <w:spacing w:after="80"/>
        <w:ind w:left="200"/>
      </w:pPr>
      <w:r>
        <w:rPr>
          <w:sz w:val="22"/>
          <w:szCs w:val="22"/>
        </w:rPr>
        <w:t xml:space="preserve">☐  </w:t>
      </w:r>
      <w:r>
        <w:rPr>
          <w:sz w:val="22"/>
          <w:szCs w:val="22"/>
        </w:rPr>
        <w:t xml:space="preserve">Categorizzazione biometrica per dedurre dati sensibili (es. opinioni politiche, orientamento) non consentita</w:t>
      </w:r>
    </w:p>
    <w:p>
      <w:pPr>
        <w:spacing w:after="80"/>
        <w:ind w:left="200"/>
      </w:pPr>
      <w:r>
        <w:rPr>
          <w:sz w:val="22"/>
          <w:szCs w:val="22"/>
        </w:rPr>
        <w:t xml:space="preserve">☐  </w:t>
      </w:r>
      <w:r>
        <w:rPr>
          <w:sz w:val="22"/>
          <w:szCs w:val="22"/>
        </w:rPr>
        <w:t xml:space="preserve">Riconoscimento delle emozioni sul luogo di lavoro o nelle scuole (salvo eccezioni ristrette)</w:t>
      </w:r>
    </w:p>
    <w:p>
      <w:pPr>
        <w:spacing w:after="80"/>
        <w:ind w:left="200"/>
      </w:pPr>
      <w:r>
        <w:rPr>
          <w:sz w:val="22"/>
          <w:szCs w:val="22"/>
        </w:rPr>
        <w:t xml:space="preserve">☐  </w:t>
      </w:r>
      <w:r>
        <w:rPr>
          <w:sz w:val="22"/>
          <w:szCs w:val="22"/>
        </w:rPr>
        <w:t xml:space="preserve">Polizia predittiva basata solo su profilazione individuale</w:t>
      </w:r>
    </w:p>
    <w:p>
      <w:pPr>
        <w:spacing w:after="160"/>
      </w:pPr>
      <w:r>
        <w:rPr>
          <w:sz w:val="22"/>
          <w:szCs w:val="22"/>
        </w:rPr>
        <w:t xml:space="preserve">Se anche un solo uso effettivo (non teorico) ricade in una di queste categorie: stop, segnalare come priorità assoluta e coinvolgere un legale prima di proseguire.</w:t>
      </w:r>
    </w:p>
    <w:p>
      <w:pPr>
        <w:pStyle w:val="Heading2"/>
        <w:spacing w:after="100" w:before="280"/>
      </w:pPr>
      <w:r>
        <w:rPr>
          <w:rFonts w:ascii="Georgia" w:cs="Georgia" w:eastAsia="Georgia" w:hAnsi="Georgia"/>
          <w:b/>
          <w:bCs/>
          <w:color w:val="16324F"/>
          <w:sz w:val="26"/>
          <w:szCs w:val="26"/>
        </w:rPr>
        <w:t xml:space="preserve">Parte B — Classificazione del livello di rischio (per strumento/uso)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00"/>
        <w:gridCol w:w="1300"/>
        <w:gridCol w:w="2000"/>
        <w:gridCol w:w="1500"/>
        <w:gridCol w:w="1500"/>
      </w:tblGrid>
      <w:tr>
        <w:trPr>
          <w:tblHeader/>
        </w:trPr>
        <w:tc>
          <w:tcPr>
            <w:tcW w:type="dxa" w:w="1500"/>
            <w:shd w:fill="EEF2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6324F"/>
                <w:sz w:val="20"/>
                <w:szCs w:val="20"/>
              </w:rPr>
              <w:t xml:space="preserve">Strumento</w:t>
            </w:r>
          </w:p>
        </w:tc>
        <w:tc>
          <w:tcPr>
            <w:tcW w:type="dxa" w:w="1800"/>
            <w:shd w:fill="EEF2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6324F"/>
                <w:sz w:val="20"/>
                <w:szCs w:val="20"/>
              </w:rPr>
              <w:t xml:space="preserve">Ambito d’uso</w:t>
            </w:r>
          </w:p>
        </w:tc>
        <w:tc>
          <w:tcPr>
            <w:tcW w:type="dxa" w:w="1300"/>
            <w:shd w:fill="EEF2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6324F"/>
                <w:sz w:val="20"/>
                <w:szCs w:val="20"/>
              </w:rPr>
              <w:t xml:space="preserve">Alto rischio?</w:t>
            </w:r>
          </w:p>
        </w:tc>
        <w:tc>
          <w:tcPr>
            <w:tcW w:type="dxa" w:w="2000"/>
            <w:shd w:fill="EEF2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6324F"/>
                <w:sz w:val="20"/>
                <w:szCs w:val="20"/>
              </w:rPr>
              <w:t xml:space="preserve">Motivazione</w:t>
            </w:r>
          </w:p>
        </w:tc>
        <w:tc>
          <w:tcPr>
            <w:tcW w:type="dxa" w:w="1500"/>
            <w:shd w:fill="EEF2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6324F"/>
                <w:sz w:val="20"/>
                <w:szCs w:val="20"/>
              </w:rPr>
              <w:t xml:space="preserve">Rischio limitato</w:t>
            </w:r>
          </w:p>
        </w:tc>
        <w:tc>
          <w:tcPr>
            <w:tcW w:type="dxa" w:w="1500"/>
            <w:shd w:fill="EEF2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6324F"/>
                <w:sz w:val="20"/>
                <w:szCs w:val="20"/>
              </w:rPr>
              <w:t xml:space="preserve">Rischio minimo</w:t>
            </w:r>
          </w:p>
        </w:tc>
      </w:tr>
      <w:tr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</w:tr>
    </w:tbl>
    <w:p>
      <w:pPr>
        <w:spacing w:after="160"/>
      </w:pPr>
      <w:r>
        <w:rPr>
          <w:sz w:val="22"/>
          <w:szCs w:val="22"/>
        </w:rPr>
        <w:t xml:space="preserve">Criteri orientativi per "alto rischio" (lista non esaustiva, da verificare sui casi concreti): uso in ambiti come selezione del personale, valutazione dei lavoratori, accesso a servizi essenziali, valutazione del credito, sicurezza di prodotti regolamentati. La maggior parte degli usi da ufficio (scrittura, sintesi, supporto ad analisi) ricade di norma in rischio limitato o minimo, ma va verificato caso per caso.</w:t>
      </w:r>
    </w:p>
    <w:p>
      <w:pPr>
        <w:pStyle w:val="Heading2"/>
        <w:spacing w:after="100" w:before="280"/>
      </w:pPr>
      <w:r>
        <w:rPr>
          <w:rFonts w:ascii="Georgia" w:cs="Georgia" w:eastAsia="Georgia" w:hAnsi="Georgia"/>
          <w:b/>
          <w:bCs/>
          <w:color w:val="16324F"/>
          <w:sz w:val="26"/>
          <w:szCs w:val="26"/>
        </w:rPr>
        <w:t xml:space="preserve">Parte C — Privacy e dati personali</w:t>
      </w:r>
    </w:p>
    <w:p>
      <w:pPr>
        <w:spacing w:after="80"/>
        <w:ind w:left="200"/>
      </w:pPr>
      <w:r>
        <w:rPr>
          <w:sz w:val="22"/>
          <w:szCs w:val="22"/>
        </w:rPr>
        <w:t xml:space="preserve">☐  </w:t>
      </w:r>
      <w:r>
        <w:rPr>
          <w:sz w:val="22"/>
          <w:szCs w:val="22"/>
        </w:rPr>
        <w:t xml:space="preserve">Lo strumento tratta dati personali di dipendenti, clienti o terzi?</w:t>
      </w:r>
    </w:p>
    <w:p>
      <w:pPr>
        <w:spacing w:after="80"/>
        <w:ind w:left="200"/>
      </w:pPr>
      <w:r>
        <w:rPr>
          <w:sz w:val="22"/>
          <w:szCs w:val="22"/>
        </w:rPr>
        <w:t xml:space="preserve">☐  </w:t>
      </w:r>
      <w:r>
        <w:rPr>
          <w:sz w:val="22"/>
          <w:szCs w:val="22"/>
        </w:rPr>
        <w:t xml:space="preserve">Esiste già un’informativa privacy che copre questo trattamento?</w:t>
      </w:r>
    </w:p>
    <w:p>
      <w:pPr>
        <w:spacing w:after="80"/>
        <w:ind w:left="200"/>
      </w:pPr>
      <w:r>
        <w:rPr>
          <w:sz w:val="22"/>
          <w:szCs w:val="22"/>
        </w:rPr>
        <w:t xml:space="preserve">☐  </w:t>
      </w:r>
      <w:r>
        <w:rPr>
          <w:sz w:val="22"/>
          <w:szCs w:val="22"/>
        </w:rPr>
        <w:t xml:space="preserve">Il fornitore dello strumento offre garanzie contrattuali adeguate (DPA, localizzazione dati)?</w:t>
      </w:r>
    </w:p>
    <w:p>
      <w:pPr>
        <w:spacing w:after="80"/>
        <w:ind w:left="200"/>
      </w:pPr>
      <w:r>
        <w:rPr>
          <w:sz w:val="22"/>
          <w:szCs w:val="22"/>
        </w:rPr>
        <w:t xml:space="preserve">☐  </w:t>
      </w:r>
      <w:r>
        <w:rPr>
          <w:sz w:val="22"/>
          <w:szCs w:val="22"/>
        </w:rPr>
        <w:t xml:space="preserve">I dati inseriti potrebbero includere categorie particolari (dati sanitari, biometrici, ecc.)?</w:t>
      </w:r>
    </w:p>
    <w:p>
      <w:pPr>
        <w:spacing w:after="80"/>
        <w:ind w:left="200"/>
      </w:pPr>
      <w:r>
        <w:rPr>
          <w:sz w:val="22"/>
          <w:szCs w:val="22"/>
        </w:rPr>
        <w:t xml:space="preserve">☐  </w:t>
      </w:r>
      <w:r>
        <w:rPr>
          <w:sz w:val="22"/>
          <w:szCs w:val="22"/>
        </w:rPr>
        <w:t xml:space="preserve">È necessaria una valutazione d’impatto (DPIA) per questo trattamento? </w:t>
      </w:r>
      <w:r>
        <w:rPr>
          <w:i/>
          <w:iCs/>
          <w:color w:val="A04B2E"/>
          <w:sz w:val="22"/>
          <w:szCs w:val="22"/>
        </w:rPr>
        <w:t xml:space="preserve">[sì/no/da verificare con DPO]</w:t>
      </w:r>
    </w:p>
    <w:p>
      <w:pPr>
        <w:pStyle w:val="Heading2"/>
        <w:spacing w:after="100" w:before="280"/>
      </w:pPr>
      <w:r>
        <w:rPr>
          <w:rFonts w:ascii="Georgia" w:cs="Georgia" w:eastAsia="Georgia" w:hAnsi="Georgia"/>
          <w:b/>
          <w:bCs/>
          <w:color w:val="16324F"/>
          <w:sz w:val="26"/>
          <w:szCs w:val="26"/>
        </w:rPr>
        <w:t xml:space="preserve">Esito complessivo</w:t>
      </w:r>
    </w:p>
    <w:p>
      <w:pPr>
        <w:spacing w:after="160"/>
      </w:pPr>
      <w:r>
        <w:rPr>
          <w:sz w:val="22"/>
          <w:szCs w:val="22"/>
        </w:rPr>
        <w:t xml:space="preserve">Strumenti bloccati per pratica vietata: </w:t>
      </w:r>
      <w:r>
        <w:rPr>
          <w:i/>
          <w:iCs/>
          <w:color w:val="A04B2E"/>
          <w:sz w:val="22"/>
          <w:szCs w:val="22"/>
        </w:rPr>
        <w:t xml:space="preserve">[ ]</w:t>
      </w:r>
    </w:p>
    <w:p>
      <w:pPr>
        <w:spacing w:after="160"/>
      </w:pPr>
      <w:r>
        <w:rPr>
          <w:sz w:val="22"/>
          <w:szCs w:val="22"/>
        </w:rPr>
        <w:t xml:space="preserve">Strumenti da segnalare come possibile alto rischio (da approfondire): </w:t>
      </w:r>
      <w:r>
        <w:rPr>
          <w:i/>
          <w:iCs/>
          <w:color w:val="A04B2E"/>
          <w:sz w:val="22"/>
          <w:szCs w:val="22"/>
        </w:rPr>
        <w:t xml:space="preserve">[ ]</w:t>
      </w:r>
    </w:p>
    <w:p>
      <w:pPr>
        <w:spacing w:after="160"/>
      </w:pPr>
      <w:r>
        <w:rPr>
          <w:sz w:val="22"/>
          <w:szCs w:val="22"/>
        </w:rPr>
        <w:t xml:space="preserve">Strumenti ok con obblighi di trasparenza/informativa: </w:t>
      </w:r>
      <w:r>
        <w:rPr>
          <w:i/>
          <w:iCs/>
          <w:color w:val="A04B2E"/>
          <w:sz w:val="22"/>
          <w:szCs w:val="22"/>
        </w:rPr>
        <w:t xml:space="preserve">[ ]</w:t>
      </w:r>
    </w:p>
    <w:p>
      <w:pPr>
        <w:spacing w:after="160"/>
      </w:pPr>
      <w:r>
        <w:rPr>
          <w:sz w:val="22"/>
          <w:szCs w:val="22"/>
        </w:rPr>
        <w:t xml:space="preserve">Strumenti a rischio minimo, nessuna azione specifica oltre alla policy generale: </w:t>
      </w:r>
      <w:r>
        <w:rPr>
          <w:i/>
          <w:iCs/>
          <w:color w:val="A04B2E"/>
          <w:sz w:val="22"/>
          <w:szCs w:val="22"/>
        </w:rPr>
        <w:t xml:space="preserve">[ ]</w:t>
      </w:r>
    </w:p>
    <w:sectPr>
      <w:footerReference w:type="default" r:id="rId7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2026-10-30T08:07:51.161Z</dcterms:created>
  <dcterms:modified xsi:type="dcterms:W3CDTF">2026-10-30T08:07:51.161Z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