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6324F" w:sz="12" w:space="6"/>
        </w:pBdr>
        <w:spacing w:after="60"/>
      </w:pPr>
      <w:r>
        <w:rPr>
          <w:rFonts w:ascii="Georgia" w:cs="Georgia" w:eastAsia="Georgia" w:hAnsi="Georgia"/>
          <w:b/>
          <w:bCs/>
          <w:color w:val="16324F"/>
          <w:sz w:val="36"/>
          <w:szCs w:val="36"/>
        </w:rPr>
        <w:t xml:space="preserve">Policy aziendale per l’uso dell’intelligenza artificiale</w:t>
      </w:r>
    </w:p>
    <w:p>
      <w:pPr>
        <w:spacing w:after="240"/>
      </w:pPr>
      <w:r>
        <w:rPr>
          <w:i/>
          <w:iCs/>
          <w:color w:val="6B6B6B"/>
          <w:sz w:val="20"/>
          <w:szCs w:val="20"/>
        </w:rPr>
        <w:t xml:space="preserve">[Nome azienda]</w:t>
      </w:r>
      <w:r>
        <w:rPr>
          <w:i/>
          <w:iCs/>
          <w:color w:val="6B6B6B"/>
          <w:sz w:val="20"/>
          <w:szCs w:val="20"/>
        </w:rPr>
        <w:t xml:space="preserve"> · Versione </w:t>
      </w:r>
      <w:r>
        <w:rPr>
          <w:i/>
          <w:iCs/>
          <w:color w:val="6B6B6B"/>
          <w:sz w:val="20"/>
          <w:szCs w:val="20"/>
        </w:rPr>
        <w:t xml:space="preserve">[1.0]</w:t>
      </w:r>
      <w:r>
        <w:rPr>
          <w:i/>
          <w:iCs/>
          <w:color w:val="6B6B6B"/>
          <w:sz w:val="20"/>
          <w:szCs w:val="20"/>
        </w:rPr>
        <w:t xml:space="preserve"> · In vigore dal </w:t>
      </w:r>
      <w:r>
        <w:rPr>
          <w:i/>
          <w:iCs/>
          <w:color w:val="6B6B6B"/>
          <w:sz w:val="20"/>
          <w:szCs w:val="20"/>
        </w:rPr>
        <w:t xml:space="preserve">[Data]</w:t>
      </w:r>
      <w:r>
        <w:rPr>
          <w:i/>
          <w:iCs/>
          <w:color w:val="6B6B6B"/>
          <w:sz w:val="20"/>
          <w:szCs w:val="20"/>
        </w:rPr>
        <w:t xml:space="preserve"> · Prossima revisione prevista: </w:t>
      </w:r>
      <w:r>
        <w:rPr>
          <w:i/>
          <w:iCs/>
          <w:color w:val="6B6B6B"/>
          <w:sz w:val="20"/>
          <w:szCs w:val="20"/>
        </w:rPr>
        <w:t xml:space="preserve">[Data]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1. Scopo</w:t>
      </w:r>
    </w:p>
    <w:p>
      <w:pPr>
        <w:spacing w:after="160"/>
      </w:pPr>
      <w:r>
        <w:rPr>
          <w:sz w:val="22"/>
          <w:szCs w:val="22"/>
        </w:rPr>
        <w:t xml:space="preserve">Questa policy definisce come il personale di </w:t>
      </w:r>
      <w:r>
        <w:rPr>
          <w:i/>
          <w:iCs/>
          <w:color w:val="A04B2E"/>
          <w:sz w:val="22"/>
          <w:szCs w:val="22"/>
        </w:rPr>
        <w:t xml:space="preserve">[Nome azienda]</w:t>
      </w:r>
      <w:r>
        <w:rPr>
          <w:sz w:val="22"/>
          <w:szCs w:val="22"/>
        </w:rPr>
        <w:t xml:space="preserve"> può usare strumenti di intelligenza artificiale nello svolgimento del proprio lavoro, per garantire un uso efficace, sicuro e conforme alla normativa applicabile.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2. A chi si applica</w:t>
      </w:r>
    </w:p>
    <w:p>
      <w:pPr>
        <w:spacing w:after="160"/>
      </w:pPr>
      <w:r>
        <w:rPr>
          <w:sz w:val="22"/>
          <w:szCs w:val="22"/>
        </w:rPr>
        <w:t xml:space="preserve">A tutte le persone che operano per </w:t>
      </w:r>
      <w:r>
        <w:rPr>
          <w:i/>
          <w:iCs/>
          <w:color w:val="A04B2E"/>
          <w:sz w:val="22"/>
          <w:szCs w:val="22"/>
        </w:rPr>
        <w:t xml:space="preserve">[Nome azienda]</w:t>
      </w:r>
      <w:r>
        <w:rPr>
          <w:sz w:val="22"/>
          <w:szCs w:val="22"/>
        </w:rPr>
        <w:t xml:space="preserve"> — dipendenti, collaboratori, stagisti — indipendentemente dal reparto.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3. Strumenti autorizzati</w:t>
      </w:r>
    </w:p>
    <w:p>
      <w:pPr>
        <w:spacing w:after="160"/>
      </w:pPr>
      <w:r>
        <w:rPr>
          <w:sz w:val="22"/>
          <w:szCs w:val="22"/>
        </w:rPr>
        <w:t xml:space="preserve">Elenco basato sul censimento effettuato: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000"/>
        <w:gridCol w:w="3200"/>
      </w:tblGrid>
      <w:tr>
        <w:trPr>
          <w:tblHeader/>
        </w:trPr>
        <w:tc>
          <w:tcPr>
            <w:tcW w:type="dxa" w:w="20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Strumento</w:t>
            </w:r>
          </w:p>
        </w:tc>
        <w:tc>
          <w:tcPr>
            <w:tcW w:type="dxa" w:w="24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Uso consentito</w:t>
            </w:r>
          </w:p>
        </w:tc>
        <w:tc>
          <w:tcPr>
            <w:tcW w:type="dxa" w:w="20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Account da usare</w:t>
            </w:r>
          </w:p>
        </w:tc>
        <w:tc>
          <w:tcPr>
            <w:tcW w:type="dxa" w:w="32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Dati da NON inserire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[es. ChatGPT Team]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[es. bozze, ricerca, sintesi]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[account aziendale]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[dati di clienti, dati sanitari, contratti riservati]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</w:tbl>
    <w:p>
      <w:pPr>
        <w:spacing w:after="160"/>
      </w:pPr>
      <w:r>
        <w:rPr>
          <w:sz w:val="22"/>
          <w:szCs w:val="22"/>
        </w:rPr>
        <w:t xml:space="preserve">Regola generale: l’uso di strumenti AI non presenti in questo elenco richiede l’approvazione preventiva del referente interno (vedi punto 6) prima di essere utilizzato per attività lavorative.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4. Dati e riservatezza</w:t>
      </w:r>
    </w:p>
    <w:p>
      <w:pPr>
        <w:spacing w:after="160"/>
      </w:pPr>
      <w:r>
        <w:rPr>
          <w:sz w:val="22"/>
          <w:szCs w:val="22"/>
        </w:rPr>
        <w:t xml:space="preserve">Non inserire mai in strumenti AI non aziendali: dati personali di clienti o dipendenti, dati sanitari, dati finanziari riservati, contratti, informazioni coperte da NDA.</w:t>
      </w:r>
    </w:p>
    <w:p>
      <w:pPr>
        <w:spacing w:after="160"/>
      </w:pPr>
      <w:r>
        <w:rPr>
          <w:sz w:val="22"/>
          <w:szCs w:val="22"/>
        </w:rPr>
        <w:t xml:space="preserve">Preferire, dove disponibili, le versioni aziendali/business degli strumenti (che normalmente non usano i dati inseriti per addestrare i modelli) rispetto alle versioni gratuite/personali.</w:t>
      </w:r>
    </w:p>
    <w:p>
      <w:pPr>
        <w:spacing w:after="160"/>
      </w:pPr>
      <w:r>
        <w:rPr>
          <w:sz w:val="22"/>
          <w:szCs w:val="22"/>
        </w:rPr>
        <w:t xml:space="preserve">In caso di dubbio su un dato specifico, chiedere prima al referente interno.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5. Verifica umana dei risultati</w:t>
      </w:r>
    </w:p>
    <w:p>
      <w:pPr>
        <w:spacing w:after="160"/>
      </w:pPr>
      <w:r>
        <w:rPr>
          <w:sz w:val="22"/>
          <w:szCs w:val="22"/>
        </w:rPr>
        <w:t xml:space="preserve">Gli output generati dall’AI vanno sempre controllati da una persona prima di essere usati verso l’esterno (clienti, fornitori, pubblico) o per decisioni rilevanti.</w:t>
      </w:r>
    </w:p>
    <w:p>
      <w:pPr>
        <w:spacing w:after="160"/>
      </w:pPr>
      <w:r>
        <w:rPr>
          <w:sz w:val="22"/>
          <w:szCs w:val="22"/>
        </w:rPr>
        <w:t xml:space="preserve">L’AI non sostituisce la responsabilità di chi firma o invia un documento: chi usa lo strumento resta responsabile del contenuto finale.</w:t>
      </w:r>
    </w:p>
    <w:p>
      <w:pPr>
        <w:spacing w:after="160"/>
      </w:pPr>
      <w:r>
        <w:rPr>
          <w:sz w:val="22"/>
          <w:szCs w:val="22"/>
        </w:rPr>
        <w:t xml:space="preserve">Per decisioni che riguardano persone (es. selezione del personale, valutazioni) l’AI può solo supportare, mai sostituire, la decisione umana.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6. Referente interno</w:t>
      </w:r>
    </w:p>
    <w:p>
      <w:pPr>
        <w:spacing w:after="160"/>
      </w:pPr>
      <w:r>
        <w:rPr>
          <w:sz w:val="22"/>
          <w:szCs w:val="22"/>
        </w:rPr>
        <w:t xml:space="preserve">Il referente per l’uso dell’AI in azienda è: </w:t>
      </w:r>
      <w:r>
        <w:rPr>
          <w:i/>
          <w:iCs/>
          <w:color w:val="A04B2E"/>
          <w:sz w:val="22"/>
          <w:szCs w:val="22"/>
        </w:rPr>
        <w:t xml:space="preserve">[Nome, ruolo]</w:t>
      </w:r>
      <w:r>
        <w:rPr>
          <w:sz w:val="22"/>
          <w:szCs w:val="22"/>
        </w:rPr>
        <w:t xml:space="preserve">.</w:t>
      </w:r>
    </w:p>
    <w:p>
      <w:pPr>
        <w:spacing w:after="160"/>
      </w:pPr>
      <w:r>
        <w:rPr>
          <w:sz w:val="22"/>
          <w:szCs w:val="22"/>
        </w:rPr>
        <w:t xml:space="preserve">Compiti del referente: tenere aggiornato l’elenco degli strumenti autorizzati, valutare richieste di nuovi strumenti, essere punto di contatto per dubbi, organizzare la formazione periodica, segnalare eventuali criticità.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7. Formazione</w:t>
      </w:r>
    </w:p>
    <w:p>
      <w:pPr>
        <w:spacing w:after="160"/>
      </w:pPr>
      <w:r>
        <w:rPr>
          <w:sz w:val="22"/>
          <w:szCs w:val="22"/>
        </w:rPr>
        <w:t xml:space="preserve">Tutto il personale che usa strumenti AI riceve una formazione iniziale e aggiornamenti periodici quando cambiano strumenti o normativa.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8. Violazioni</w:t>
      </w:r>
    </w:p>
    <w:p>
      <w:pPr>
        <w:spacing w:after="160"/>
      </w:pPr>
      <w:r>
        <w:rPr>
          <w:sz w:val="22"/>
          <w:szCs w:val="22"/>
        </w:rPr>
        <w:t xml:space="preserve">L’uso non conforme a questa policy va segnalato al referente interno. I casi di uso di dati riservati in strumenti non autorizzati vanno trattati con priorità, valutando l’eventuale necessità di notifica (es. in caso di violazione di dati personali).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9. Revisione</w:t>
      </w:r>
    </w:p>
    <w:p>
      <w:pPr>
        <w:spacing w:after="160"/>
      </w:pPr>
      <w:r>
        <w:rPr>
          <w:sz w:val="22"/>
          <w:szCs w:val="22"/>
        </w:rPr>
        <w:t xml:space="preserve">Questa policy viene rivista almeno una volta l’anno, o prima in caso di nuovi strumenti rilevanti o modifiche normative significative.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Approvazione</w:t>
      </w:r>
    </w:p>
    <w:p>
      <w:pPr>
        <w:spacing w:after="160"/>
      </w:pPr>
      <w:r>
        <w:rPr>
          <w:sz w:val="22"/>
          <w:szCs w:val="22"/>
        </w:rPr>
        <w:t xml:space="preserve">Documento approvato da: </w:t>
      </w:r>
      <w:r>
        <w:rPr>
          <w:i/>
          <w:iCs/>
          <w:color w:val="A04B2E"/>
          <w:sz w:val="22"/>
          <w:szCs w:val="22"/>
        </w:rPr>
        <w:t xml:space="preserve">[Nome, ruolo]</w:t>
      </w:r>
      <w:r>
        <w:rPr>
          <w:sz w:val="22"/>
          <w:szCs w:val="22"/>
        </w:rPr>
        <w:t xml:space="preserve"> — Data: </w:t>
      </w:r>
      <w:r>
        <w:rPr>
          <w:i/>
          <w:iCs/>
          <w:color w:val="A04B2E"/>
          <w:sz w:val="22"/>
          <w:szCs w:val="22"/>
        </w:rPr>
        <w:t xml:space="preserve">[Data]</w:t>
      </w:r>
      <w:r>
        <w:rPr>
          <w:sz w:val="22"/>
          <w:szCs w:val="22"/>
        </w:rPr>
        <w:t xml:space="preserve"> — Firma: _________________________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2026-10-30T08:07:51.367Z</dcterms:created>
  <dcterms:modified xsi:type="dcterms:W3CDTF">2026-10-30T08:07:51.367Z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