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Checklist — pratiche vietate e classificazione del rischio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 xml:space="preserve">Cliente: </w:t>
      </w:r>
      <w:r>
        <w:rPr>
          <w:i/>
          <w:iCs/>
          <w:color w:val="6B6B6B"/>
          <w:sz w:val="20"/>
          <w:szCs w:val="20"/>
        </w:rPr>
        <w:t>Demo S.r.l.</w:t>
      </w:r>
      <w:r>
        <w:rPr>
          <w:i/>
          <w:iCs/>
          <w:color w:val="6B6B6B"/>
          <w:sz w:val="20"/>
          <w:szCs w:val="20"/>
        </w:rPr>
        <w:t xml:space="preserve"> · Data: </w:t>
      </w:r>
      <w:r>
        <w:rPr>
          <w:i/>
          <w:iCs/>
          <w:color w:val="6B6B6B"/>
          <w:sz w:val="20"/>
          <w:szCs w:val="20"/>
        </w:rPr>
        <w:t>23/11/2026</w:t>
      </w:r>
    </w:p>
    <w:p>
      <w:pPr>
        <w:spacing w:after="160"/>
      </w:pPr>
      <w:r>
        <w:rPr>
          <w:sz w:val="22"/>
          <w:szCs w:val="22"/>
        </w:rPr>
        <w:t xml:space="preserve">Da compilare per ciascuno strumento del registro di censimento (01-censimento-strumenti-ai).</w:t>
      </w:r>
    </w:p>
    <w:p>
      <w:pPr>
        <w:spacing w:after="120" w:before="200"/>
      </w:pPr>
      <w:r>
        <w:rPr>
          <w:i/>
          <w:iCs/>
          <w:color w:val="6B6B6B"/>
          <w:sz w:val="18"/>
          <w:szCs w:val="18"/>
        </w:rPr>
        <w:t xml:space="preserve">Nota: la classificazione di rischio del Regolamento (UE) AI Act si basa su categorie generali (pratiche vietate, sistemi ad alto rischio, rischio limitato, rischio minimo). Per i casi non evidenti — in particolare un sospetto di pratica vietata, o un uso che potrebbe ricadere nell’alto rischio — la qualificazione finale va confermata con un legale/DPO prima di comunicarla al cliente come definitiva.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A — Esclusione pratiche vietate</w:t>
      </w:r>
    </w:p>
    <w:p>
      <w:pPr>
        <w:spacing w:after="160"/>
      </w:pPr>
      <w:r>
        <w:rPr>
          <w:sz w:val="22"/>
          <w:szCs w:val="22"/>
        </w:rPr>
        <w:t xml:space="preserve">Per ogni strumento, verificare che l’uso non rientri in pratiche esplicitamente vietate, tra cui tipicamente: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Manipolazione subliminale o ingannevole dei comportamenti delle persone, con pregiudizio significativo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Sfruttamento di vulnerabilità di specifici gruppi (età, disabilità, condizione sociale/economica)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Social scoring (valutazione/classificazione delle persone su comportamento sociale, con effetti pregiudizievoli e sproporzionati)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Identificazione biometrica remota "in tempo reale" in spazi pubblici a fini di contrasto (salvo eccezioni di legge)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Categorizzazione biometrica per dedurre dati sensibili (es. opinioni politiche, orientamento) non consentita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Riconoscimento delle emozioni sul luogo di lavoro o nelle scuole (salvo eccezioni ristrette)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Polizia predittiva basata solo su profilazione individuale</w:t>
      </w:r>
    </w:p>
    <w:p>
      <w:pPr>
        <w:spacing w:after="160"/>
      </w:pPr>
      <w:r>
        <w:rPr>
          <w:sz w:val="22"/>
          <w:szCs w:val="22"/>
        </w:rPr>
        <w:t xml:space="preserve">Se anche un solo uso effettivo (non teorico) ricade in una di queste categorie: stop, segnalare come priorità assoluta e coinvolgere un legale prima di proseguire.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B — Classificazione del livello di rischio (per strumento/uso)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300"/>
        <w:gridCol w:w="2000"/>
        <w:gridCol w:w="1500"/>
        <w:gridCol w:w="1500"/>
      </w:tblGrid>
      <w:tr>
        <w:trPr>
          <w:tblHeader/>
        </w:trPr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Strumento</w:t>
            </w:r>
          </w:p>
        </w:tc>
        <w:tc>
          <w:tcPr>
            <w:tcW w:type="dxa" w:w="18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Ambito d’uso</w:t>
            </w:r>
          </w:p>
        </w:tc>
        <w:tc>
          <w:tcPr>
            <w:tcW w:type="dxa" w:w="13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Alto rischio?</w:t>
            </w:r>
          </w:p>
        </w:tc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Motivazione</w:t>
            </w:r>
          </w:p>
        </w:tc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Rischio limitato</w:t>
            </w:r>
          </w:p>
        </w:tc>
        <w:tc>
          <w:tcPr>
            <w:tcW w:type="dxa" w:w="15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Rischio minimo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Criteri orientativi per "alto rischio" (lista non esaustiva, da verificare sui casi concreti): uso in ambiti come selezione del personale, valutazione dei lavoratori, accesso a servizi essenziali, valutazione del credito, sicurezza di prodotti regolamentati. La maggior parte degli usi da ufficio (scrittura, sintesi, supporto ad analisi) ricade di norma in rischio limitato o minimo, ma va verificato caso per caso.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Parte C — Privacy e dati personali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 strumento tratta dati personali di dipendenti, clienti o terzi?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Esiste già un’informativa privacy che copre questo trattamento?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Il fornitore dello strumento offre garanzie contrattuali adeguate (DPA, localizzazione dati)?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I dati inseriti potrebbero includere categorie particolari (dati sanitari, biometrici, ecc.)?</w:t>
      </w:r>
    </w:p>
    <w:p>
      <w:pPr>
        <w:spacing w:after="80"/>
        <w:ind w:left="20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È necessaria una valutazione d’impatto (DPIA) per questo trattamento? </w:t>
      </w:r>
      <w:r>
        <w:rPr>
          <w:i/>
          <w:iCs/>
          <w:color w:val="A04B2E"/>
          <w:sz w:val="22"/>
          <w:szCs w:val="22"/>
        </w:rPr>
        <w:t xml:space="preserve">[sì/no/da verificare con DPO]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Perché compilare questa checklist (non solo burocrazia)</w:t>
      </w:r>
    </w:p>
    <w:p>
      <w:pPr>
        <w:spacing w:after="160"/>
      </w:pPr>
      <w:r>
        <w:rPr>
          <w:sz w:val="22"/>
          <w:szCs w:val="22"/>
        </w:rPr>
        <w:t xml:space="preserve">In caso di contenzioso per danni da uso di un sistema IA, l’art. 18, D.Lgs 160/2026 presume il nesso di causalità tra la violazione di un obbligo del regolamento IA e il danno, salvo prova contraria a carico dell’azienda. L’art. 17 dello stesso decreto permette al giudice di ordinare l’esibizione dei registri di funzionamento e della documentazione di gestione del rischio. Questa checklist, insieme al censimento e alla policy, è la prova della diligenza dell’azienda: conservarla con cura.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Esito complessivo</w:t>
      </w:r>
    </w:p>
    <w:p>
      <w:pPr>
        <w:spacing w:after="160"/>
      </w:pPr>
      <w:r>
        <w:rPr>
          <w:sz w:val="22"/>
          <w:szCs w:val="22"/>
        </w:rPr>
        <w:t xml:space="preserve">Strumenti bloccati per pratica vietata: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da segnalare come possibile alto rischio (da approfondire):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ok con obblighi di trasparenza/informativa: </w:t>
      </w:r>
      <w:r>
        <w:rPr>
          <w:i/>
          <w:iCs/>
          <w:color w:val="A04B2E"/>
          <w:sz w:val="22"/>
          <w:szCs w:val="22"/>
        </w:rPr>
        <w:t xml:space="preserve">[ ]</w:t>
      </w:r>
    </w:p>
    <w:p>
      <w:pPr>
        <w:spacing w:after="160"/>
      </w:pPr>
      <w:r>
        <w:rPr>
          <w:sz w:val="22"/>
          <w:szCs w:val="22"/>
        </w:rPr>
        <w:t xml:space="preserve">Strumenti a rischio minimo, nessuna azione specifica oltre alla policy generale: </w:t>
      </w:r>
      <w:r>
        <w:rPr>
          <w:i/>
          <w:iCs/>
          <w:color w:val="A04B2E"/>
          <w:sz w:val="22"/>
          <w:szCs w:val="22"/>
        </w:rPr>
        <w:t xml:space="preserve">[ ]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2026-10-30T08:14:08.704Z</dcterms:created>
  <dcterms:modified xsi:type="dcterms:W3CDTF">2026-10-30T08:14:08.704Z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