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6324F" w:sz="12" w:space="6"/>
        </w:pBdr>
        <w:spacing w:after="60"/>
      </w:pPr>
      <w:r>
        <w:rPr>
          <w:rFonts w:ascii="Georgia" w:cs="Georgia" w:eastAsia="Georgia" w:hAnsi="Georgia"/>
          <w:b/>
          <w:bCs/>
          <w:color w:val="16324F"/>
          <w:sz w:val="36"/>
          <w:szCs w:val="36"/>
        </w:rPr>
        <w:t xml:space="preserve">Report finale — Percorso di adeguamento AI</w:t>
      </w:r>
    </w:p>
    <w:p>
      <w:pPr>
        <w:spacing w:after="240"/>
      </w:pPr>
      <w:r>
        <w:rPr>
          <w:i/>
          <w:iCs/>
          <w:color w:val="6B6B6B"/>
          <w:sz w:val="20"/>
          <w:szCs w:val="20"/>
        </w:rPr>
        <w:t xml:space="preserve">Cliente: </w:t>
      </w:r>
      <w:r>
        <w:rPr>
          <w:i/>
          <w:iCs/>
          <w:color w:val="6B6B6B"/>
          <w:sz w:val="20"/>
          <w:szCs w:val="20"/>
        </w:rPr>
        <w:t>Demo S.r.l.</w:t>
      </w:r>
      <w:r>
        <w:rPr>
          <w:i/>
          <w:iCs/>
          <w:color w:val="6B6B6B"/>
          <w:sz w:val="20"/>
          <w:szCs w:val="20"/>
        </w:rPr>
        <w:t xml:space="preserve"> · Periodo del percorso: </w:t>
      </w:r>
      <w:r>
        <w:rPr>
          <w:i/>
          <w:iCs/>
          <w:color w:val="6B6B6B"/>
          <w:sz w:val="20"/>
          <w:szCs w:val="20"/>
        </w:rPr>
        <w:t>05/11/2026 - 18/12/2026</w:t>
      </w:r>
      <w:r>
        <w:rPr>
          <w:i/>
          <w:iCs/>
          <w:color w:val="6B6B6B"/>
          <w:sz w:val="20"/>
          <w:szCs w:val="20"/>
        </w:rPr>
        <w:t xml:space="preserve"> · A cura di: </w:t>
      </w:r>
      <w:r>
        <w:rPr>
          <w:i/>
          <w:iCs/>
          <w:color w:val="6B6B6B"/>
          <w:sz w:val="20"/>
          <w:szCs w:val="20"/>
        </w:rPr>
        <w:t xml:space="preserve">[Nome consulente]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Executive summary</w:t>
      </w:r>
    </w:p>
    <w:p>
      <w:pPr>
        <w:spacing w:after="160"/>
      </w:pPr>
      <w:r>
        <w:rPr>
          <w:i/>
          <w:iCs/>
          <w:color w:val="A04B2E"/>
          <w:sz w:val="22"/>
          <w:szCs w:val="22"/>
        </w:rPr>
        <w:t xml:space="preserve">[3-5 righe: cosa è stato fatto, risultato principale, stato di conformità raggiunto, eventuali punti aperti]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1. Censimento degli strumenti AI</w:t>
      </w:r>
    </w:p>
    <w:p>
      <w:pPr>
        <w:spacing w:after="160"/>
      </w:pPr>
      <w:r>
        <w:rPr>
          <w:sz w:val="22"/>
          <w:szCs w:val="22"/>
        </w:rPr>
        <w:t xml:space="preserve">Strumenti censiti: </w:t>
      </w:r>
      <w:r>
        <w:rPr>
          <w:i/>
          <w:iCs/>
          <w:color w:val="A04B2E"/>
          <w:sz w:val="22"/>
          <w:szCs w:val="22"/>
        </w:rPr>
        <w:t xml:space="preserve">[numero]</w:t>
      </w:r>
    </w:p>
    <w:p>
      <w:pPr>
        <w:spacing w:after="160"/>
      </w:pPr>
      <w:r>
        <w:rPr>
          <w:sz w:val="22"/>
          <w:szCs w:val="22"/>
        </w:rPr>
        <w:t xml:space="preserve">Sintesi: vedi registro di censimento allegato</w:t>
      </w:r>
    </w:p>
    <w:p>
      <w:pPr>
        <w:spacing w:after="160"/>
      </w:pPr>
      <w:r>
        <w:rPr>
          <w:sz w:val="22"/>
          <w:szCs w:val="22"/>
        </w:rPr>
        <w:t xml:space="preserve">Principali aree di esposizione emerse: </w:t>
      </w:r>
      <w:r>
        <w:rPr>
          <w:i/>
          <w:iCs/>
          <w:color w:val="A04B2E"/>
          <w:sz w:val="22"/>
          <w:szCs w:val="22"/>
        </w:rPr>
        <w:t xml:space="preserve">[ ]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2. Verifica pratiche vietate e classificazione del rischio</w:t>
      </w:r>
    </w:p>
    <w:p>
      <w:pPr>
        <w:spacing w:after="160"/>
      </w:pPr>
      <w:r>
        <w:rPr>
          <w:sz w:val="22"/>
          <w:szCs w:val="22"/>
        </w:rPr>
        <w:t xml:space="preserve">Esito: nessuna pratica vietata riscontrata / </w:t>
      </w:r>
      <w:r>
        <w:rPr>
          <w:i/>
          <w:iCs/>
          <w:color w:val="A04B2E"/>
          <w:sz w:val="22"/>
          <w:szCs w:val="22"/>
        </w:rPr>
        <w:t xml:space="preserve">[dettaglio se riscontrata e come è stata risolta]</w:t>
      </w:r>
    </w:p>
    <w:p>
      <w:pPr>
        <w:spacing w:after="160"/>
      </w:pPr>
      <w:r>
        <w:rPr>
          <w:sz w:val="22"/>
          <w:szCs w:val="22"/>
        </w:rPr>
        <w:t xml:space="preserve">Strumenti classificati come rischio limitato: </w:t>
      </w:r>
      <w:r>
        <w:rPr>
          <w:i/>
          <w:iCs/>
          <w:color w:val="A04B2E"/>
          <w:sz w:val="22"/>
          <w:szCs w:val="22"/>
        </w:rPr>
        <w:t xml:space="preserve">[ ]</w:t>
      </w:r>
    </w:p>
    <w:p>
      <w:pPr>
        <w:spacing w:after="160"/>
      </w:pPr>
      <w:r>
        <w:rPr>
          <w:sz w:val="22"/>
          <w:szCs w:val="22"/>
        </w:rPr>
        <w:t xml:space="preserve">Strumenti classificati come rischio minimo: </w:t>
      </w:r>
      <w:r>
        <w:rPr>
          <w:i/>
          <w:iCs/>
          <w:color w:val="A04B2E"/>
          <w:sz w:val="22"/>
          <w:szCs w:val="22"/>
        </w:rPr>
        <w:t xml:space="preserve">[ ]</w:t>
      </w:r>
    </w:p>
    <w:p>
      <w:pPr>
        <w:spacing w:after="160"/>
      </w:pPr>
      <w:r>
        <w:rPr>
          <w:sz w:val="22"/>
          <w:szCs w:val="22"/>
        </w:rPr>
        <w:t xml:space="preserve">Eventuali strumenti segnalati per approfondimento con legale/DPO: </w:t>
      </w:r>
      <w:r>
        <w:rPr>
          <w:i/>
          <w:iCs/>
          <w:color w:val="A04B2E"/>
          <w:sz w:val="22"/>
          <w:szCs w:val="22"/>
        </w:rPr>
        <w:t xml:space="preserve">[ ]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3. Policy aziendale</w:t>
      </w:r>
    </w:p>
    <w:p>
      <w:pPr>
        <w:spacing w:after="160"/>
      </w:pPr>
      <w:r>
        <w:rPr>
          <w:sz w:val="22"/>
          <w:szCs w:val="22"/>
        </w:rPr>
        <w:t>Policy adottata in data: 01/12/2026</w:t>
      </w:r>
      <w:r>
        <w:rPr>
          <w:i/>
          <w:iCs/>
          <w:color w:val="A04B2E"/>
          <w:sz w:val="22"/>
          <w:szCs w:val="22"/>
        </w:rPr>
      </w:r>
      <w:r>
        <w:rPr>
          <w:sz w:val="22"/>
          <w:szCs w:val="22"/>
        </w:rPr>
        <w:t xml:space="preserve"> · Approvata da: Laura Bianchi, Amministratrice unica</w:t>
      </w:r>
      <w:r>
        <w:rPr>
          <w:i/>
          <w:iCs/>
          <w:color w:val="A04B2E"/>
          <w:sz w:val="22"/>
          <w:szCs w:val="22"/>
        </w:rPr>
      </w:r>
    </w:p>
    <w:p>
      <w:pPr>
        <w:spacing w:after="160"/>
      </w:pPr>
      <w:r>
        <w:rPr>
          <w:sz w:val="22"/>
          <w:szCs w:val="22"/>
        </w:rPr>
        <w:t xml:space="preserve">Principali regole introdotte: elenco strumenti autorizzati, regole sui dati, verifica umana — sintesi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4. Referente interno</w:t>
      </w:r>
    </w:p>
    <w:p>
      <w:pPr>
        <w:spacing w:after="160"/>
      </w:pPr>
      <w:r>
        <w:rPr>
          <w:sz w:val="22"/>
          <w:szCs w:val="22"/>
        </w:rPr>
        <w:t>Nominato: Marco Rossi, Responsabile amministrazione e IT</w:t>
      </w:r>
      <w:r>
        <w:rPr>
          <w:i/>
          <w:iCs/>
          <w:color w:val="A04B2E"/>
          <w:sz w:val="22"/>
          <w:szCs w:val="22"/>
        </w:rPr>
      </w:r>
      <w:r>
        <w:rPr>
          <w:sz w:val="22"/>
          <w:szCs w:val="22"/>
        </w:rPr>
        <w:t xml:space="preserve"> · Data nomina: 01/12/2026</w:t>
      </w:r>
      <w:r>
        <w:rPr>
          <w:i/>
          <w:iCs/>
          <w:color w:val="A04B2E"/>
          <w:sz w:val="22"/>
          <w:szCs w:val="22"/>
        </w:rPr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5. Formazione</w:t>
      </w:r>
    </w:p>
    <w:p>
      <w:pPr>
        <w:spacing w:after="160"/>
      </w:pPr>
      <w:r>
        <w:rPr>
          <w:sz w:val="22"/>
          <w:szCs w:val="22"/>
        </w:rPr>
        <w:t>Data/e sessione/i: 10/12/2026</w:t>
      </w:r>
      <w:r>
        <w:rPr>
          <w:i/>
          <w:iCs/>
          <w:color w:val="A04B2E"/>
          <w:sz w:val="22"/>
          <w:szCs w:val="22"/>
        </w:rPr>
      </w:r>
      <w:r>
        <w:rPr>
          <w:sz w:val="22"/>
          <w:szCs w:val="22"/>
        </w:rPr>
        <w:t xml:space="preserve"> · Numero partecipanti: </w:t>
      </w:r>
      <w:r>
        <w:rPr>
          <w:i/>
          <w:iCs/>
          <w:color w:val="A04B2E"/>
          <w:sz w:val="22"/>
          <w:szCs w:val="22"/>
        </w:rPr>
        <w:t xml:space="preserve">[ ]</w:t>
      </w:r>
      <w:r>
        <w:rPr>
          <w:sz w:val="22"/>
          <w:szCs w:val="22"/>
        </w:rPr>
        <w:t xml:space="preserve"> su </w:t>
      </w:r>
      <w:r>
        <w:rPr>
          <w:i/>
          <w:iCs/>
          <w:color w:val="A04B2E"/>
          <w:sz w:val="22"/>
          <w:szCs w:val="22"/>
        </w:rPr>
        <w:t xml:space="preserve">[totale personale interessato]</w:t>
      </w:r>
      <w:r>
        <w:rPr>
          <w:sz w:val="22"/>
          <w:szCs w:val="22"/>
        </w:rPr>
        <w:t xml:space="preserve"> · Attestati rilasciati: </w:t>
      </w:r>
      <w:r>
        <w:rPr>
          <w:i/>
          <w:iCs/>
          <w:color w:val="A04B2E"/>
          <w:sz w:val="22"/>
          <w:szCs w:val="22"/>
        </w:rPr>
        <w:t xml:space="preserve">[ ]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6. Decisioni sul personale assistite da AI</w:t>
      </w:r>
    </w:p>
    <w:p>
      <w:pPr>
        <w:spacing w:after="160"/>
      </w:pPr>
      <w:r>
        <w:rPr>
          <w:sz w:val="22"/>
          <w:szCs w:val="22"/>
        </w:rPr>
        <w:t xml:space="preserve">L’azienda usa sistemi AI per decisioni su costituzione, modifica o risoluzione di rapporti di lavoro (inclusi provvedimenti disciplinari e valutazioni)? </w:t>
      </w:r>
      <w:r>
        <w:rPr>
          <w:i/>
          <w:iCs/>
          <w:color w:val="A04B2E"/>
          <w:sz w:val="22"/>
          <w:szCs w:val="22"/>
        </w:rPr>
        <w:t xml:space="preserve">[sì/no]</w:t>
      </w:r>
    </w:p>
    <w:p>
      <w:pPr>
        <w:spacing w:after="160"/>
      </w:pPr>
      <w:r>
        <w:rPr>
          <w:sz w:val="22"/>
          <w:szCs w:val="22"/>
        </w:rPr>
        <w:t xml:space="preserve">Se sì: verificato che la decisione finale resti sempre a una persona fisica, come richiesto dall’art. 41, D.Lgs 179/2026 (pena la nullità della decisione): </w:t>
      </w:r>
      <w:r>
        <w:rPr>
          <w:i/>
          <w:iCs/>
          <w:color w:val="A04B2E"/>
          <w:sz w:val="22"/>
          <w:szCs w:val="22"/>
        </w:rPr>
        <w:t xml:space="preserve">[ ]</w:t>
      </w:r>
    </w:p>
    <w:p>
      <w:pPr>
        <w:spacing w:after="160"/>
      </w:pPr>
      <w:r>
        <w:rPr>
          <w:sz w:val="22"/>
          <w:szCs w:val="22"/>
        </w:rPr>
        <w:t xml:space="preserve">Uso di AI che incide su organizzazione del lavoro, ritmi o sicurezza, segnalato per l’aggiornamento del DVR (art. 42, D.Lgs 179/2026): </w:t>
      </w:r>
      <w:r>
        <w:rPr>
          <w:i/>
          <w:iCs/>
          <w:color w:val="A04B2E"/>
          <w:sz w:val="22"/>
          <w:szCs w:val="22"/>
        </w:rPr>
        <w:t xml:space="preserve">[ ]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7. Stato di conformità raggiunto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EE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324F"/>
                <w:sz w:val="20"/>
                <w:szCs w:val="20"/>
              </w:rPr>
              <w:t xml:space="preserve">Area</w:t>
            </w:r>
          </w:p>
        </w:tc>
        <w:tc>
          <w:tcPr>
            <w:tcW w:type="dxa" w:w="5600"/>
            <w:shd w:fill="EE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324F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Censimento strumenti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Completato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Policy d’uso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Adottata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Referente interno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Nominato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Formazione personale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Erogata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 pratiche vietate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Nessuna criticità / </w:t>
            </w: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[dettaglio]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Privacy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[dettaglio]</w:t>
            </w:r>
          </w:p>
        </w:tc>
      </w:tr>
    </w:tbl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8. Raccomandazioni e prossimi passi</w:t>
      </w:r>
    </w:p>
    <w:p>
      <w:pPr>
        <w:spacing w:after="160"/>
      </w:pPr>
      <w:r>
        <w:rPr>
          <w:sz w:val="22"/>
          <w:szCs w:val="22"/>
        </w:rPr>
        <w:t xml:space="preserve">— Rivedere la policy tra </w:t>
      </w:r>
      <w:r>
        <w:rPr>
          <w:i/>
          <w:iCs/>
          <w:color w:val="A04B2E"/>
          <w:sz w:val="22"/>
          <w:szCs w:val="22"/>
        </w:rPr>
        <w:t xml:space="preserve">[X mesi]</w:t>
      </w:r>
      <w:r>
        <w:rPr>
          <w:sz w:val="22"/>
          <w:szCs w:val="22"/>
        </w:rPr>
        <w:t xml:space="preserve"> o all’introduzione di nuovi strumenti</w:t>
      </w:r>
    </w:p>
    <w:p>
      <w:pPr>
        <w:spacing w:after="160"/>
      </w:pPr>
      <w:r>
        <w:rPr>
          <w:sz w:val="22"/>
          <w:szCs w:val="22"/>
        </w:rPr>
        <w:t xml:space="preserve">— Programmare un refresh formativo annuale</w:t>
      </w:r>
    </w:p>
    <w:p>
      <w:pPr>
        <w:spacing w:after="160"/>
      </w:pPr>
      <w:r>
        <w:rPr>
          <w:sz w:val="22"/>
          <w:szCs w:val="22"/>
        </w:rPr>
        <w:t xml:space="preserve">— </w:t>
      </w:r>
      <w:r>
        <w:rPr>
          <w:i/>
          <w:iCs/>
          <w:color w:val="A04B2E"/>
          <w:sz w:val="22"/>
          <w:szCs w:val="22"/>
        </w:rPr>
        <w:t xml:space="preserve">[Altre raccomandazioni specifiche emerse dal percorso]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9. Presidio continuativo</w:t>
      </w:r>
    </w:p>
    <w:p>
      <w:pPr>
        <w:spacing w:after="160"/>
      </w:pPr>
      <w:r>
        <w:rPr>
          <w:sz w:val="22"/>
          <w:szCs w:val="22"/>
        </w:rPr>
        <w:t xml:space="preserve">Per restare il punto di riferimento sull’uso dell’AI in azienda oltre questo primo adeguamento, si propone: </w:t>
      </w:r>
      <w:r>
        <w:rPr>
          <w:i/>
          <w:iCs/>
          <w:color w:val="A04B2E"/>
          <w:sz w:val="22"/>
          <w:szCs w:val="22"/>
        </w:rPr>
        <w:t xml:space="preserve">[es. check periodico trimestrale/semestrale, aggiornamento su novità normative, supporto on-demand al referente interno]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Consegna</w:t>
      </w:r>
    </w:p>
    <w:p>
      <w:pPr>
        <w:spacing w:after="160"/>
      </w:pPr>
      <w:r>
        <w:rPr>
          <w:sz w:val="22"/>
          <w:szCs w:val="22"/>
        </w:rPr>
        <w:t>Consegnato a: Laura Bianchi, Amministratrice unica</w:t>
      </w:r>
      <w:r>
        <w:rPr>
          <w:i/>
          <w:iCs/>
          <w:color w:val="A04B2E"/>
          <w:sz w:val="22"/>
          <w:szCs w:val="22"/>
        </w:rPr>
      </w:r>
      <w:r>
        <w:rPr>
          <w:sz w:val="22"/>
          <w:szCs w:val="22"/>
        </w:rPr>
        <w:t xml:space="preserve"> — Data: 18/12/2026</w:t>
      </w:r>
      <w:r>
        <w:rPr>
          <w:i/>
          <w:iCs/>
          <w:color w:val="A04B2E"/>
          <w:sz w:val="22"/>
          <w:szCs w:val="22"/>
        </w:rPr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2026-10-30T08:14:09.471Z</dcterms:created>
  <dcterms:modified xsi:type="dcterms:W3CDTF">2026-10-30T08:14:09.471Z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