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oek4d15pzi1" w:id="0"/>
      <w:bookmarkEnd w:id="0"/>
      <w:r w:rsidDel="00000000" w:rsidR="00000000" w:rsidRPr="00000000">
        <w:rPr>
          <w:rtl w:val="0"/>
        </w:rPr>
        <w:t xml:space="preserve">Object test cases for water bottle: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1)check the material of the bottle.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2)check the brittleness of the material.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3)check if the material is food graded or not.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4)check that the bottle name is properly mentioned.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5)check the height of the bottle.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6)check the weight of the bottle.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7)check the color of the bottle.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8)check the durability of the color.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9)check the dimension of the bottle.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10)check the bottle top material.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11)check the bottle top color.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12)verify the bottle top as per requirements.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13)check if the bottle top is with a sipper or without sipper.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14)verify that the bottle top is firmly tightened with the bottle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15)measure the volume of the water as per requirements.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16)check the bottle condition with liquid of different temperature.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17)check the maximum temperature of liquid that the bottle can store.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18)check the minimum temperature of the liquid that the bottle can store.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19)check the bottle's condition on pouring water at a very high temperature,more than the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permissible value.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20)check the bottle's condition on pouring water at a very low temperature,less than the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permissible value.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21)check the bottle condition with different liquids-water,coffee,tea,juice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22)check the expiry date of the bottle.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23)verify the age range of the bottle.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24)if the bottle is for kids then check whether it has an adjustable strap on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25)check if the inside of the bottle is damaged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26)if there is a caution then verify that the caution is properly mentioned.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27)check the bottle does not leak the title or place it upside down.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