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color w:val="1F3B5C"/>
          <w:sz w:val="34"/>
          <w:szCs w:val="34"/>
        </w:rPr>
        <w:t xml:space="preserve">Understanding Why Balanced Token Pruning Fails on Text-Based Tasks</w:t>
      </w:r>
    </w:p>
    <w:p>
      <w:pPr>
        <w:spacing w:after="40"/>
        <w:jc w:val="center"/>
      </w:pPr>
      <w:r>
        <w:rPr>
          <w:i/>
          <w:iCs/>
          <w:color w:val="1C7293"/>
          <w:sz w:val="24"/>
          <w:szCs w:val="24"/>
        </w:rPr>
        <w:t xml:space="preserve">An Empirical Failure-Mode Study of BTP on Qwen2.5-VL-7B</w:t>
      </w:r>
    </w:p>
    <w:p>
      <w:pPr>
        <w:spacing w:after="240"/>
        <w:jc w:val="center"/>
      </w:pPr>
      <w:r>
        <w:rPr>
          <w:color w:val="5A6B7B"/>
          <w:sz w:val="18"/>
          <w:szCs w:val="18"/>
        </w:rPr>
        <w:t xml:space="preserve">P. S. Kedar (Research Intern)  ·  Prof. Divya Saxena Lab  ·  SAIDE, IIT Jodhpur  ·  June 2026</w:t>
      </w:r>
    </w:p>
    <w:p>
      <w:pPr>
        <w:pStyle w:val="Heading1"/>
      </w:pPr>
      <w:r>
        <w:t xml:space="preserve">1. Objective</w:t>
      </w:r>
    </w:p>
    <w:p>
      <w:r>
        <w:t xml:space="preserve">During our reproduction of the NeurIPS 2025 paper </w:t>
      </w:r>
      <w:r>
        <w:rPr>
          <w:i/>
          <w:iCs/>
        </w:rPr>
        <w:t xml:space="preserve">Balanced Token Pruning (BTP)</w:t>
      </w:r>
      <w:r>
        <w:t xml:space="preserve">, we observed a severe performance drop on TextVQA when BTP was applied to Qwen2.5-VL-7B:</w:t>
      </w:r>
    </w:p>
    <w:p>
      <w:pPr>
        <w:pStyle w:val="ListParagraph"/>
        <w:numPr>
          <w:ilvl w:val="0"/>
          <w:numId w:val="2"/>
        </w:numPr>
      </w:pPr>
      <w:r>
        <w:rPr>
          <w:b/>
          <w:bCs/>
        </w:rPr>
        <w:t xml:space="preserve">Baseline (no pruning): 82.7</w:t>
      </w:r>
    </w:p>
    <w:p>
      <w:pPr>
        <w:pStyle w:val="ListParagraph"/>
        <w:numPr>
          <w:ilvl w:val="0"/>
          <w:numId w:val="2"/>
        </w:numPr>
      </w:pPr>
      <w:r>
        <w:rPr>
          <w:b/>
          <w:bCs/>
        </w:rPr>
        <w:t xml:space="preserve">With BTP: 23.6</w:t>
      </w:r>
    </w:p>
    <w:p>
      <w:r>
        <w:t xml:space="preserve">This study asks </w:t>
      </w:r>
      <w:r>
        <w:rPr>
          <w:b/>
          <w:bCs/>
        </w:rPr>
        <w:t xml:space="preserve">why</w:t>
      </w:r>
      <w:r>
        <w:t xml:space="preserve"> this happens, and whether the same thing shows up on other text- and document-heavy tasks. The goal here is to understand the failure mode of BTP, not to fix or improve the method.</w:t>
      </w:r>
    </w:p>
    <w:p>
      <w:pPr>
        <w:pStyle w:val="Heading2"/>
      </w:pPr>
      <w:r>
        <w:t xml:space="preserve">Research Questions</w:t>
      </w:r>
    </w:p>
    <w:p>
      <w:pPr>
        <w:pStyle w:val="ListParagraph"/>
        <w:numPr>
          <w:ilvl w:val="0"/>
          <w:numId w:val="3"/>
        </w:numPr>
      </w:pPr>
      <w:r>
        <w:t xml:space="preserve">Is the drop limited to TextVQA, or does it appear on similar benchmarks?</w:t>
      </w:r>
    </w:p>
    <w:p>
      <w:pPr>
        <w:pStyle w:val="ListParagraph"/>
        <w:numPr>
          <w:ilvl w:val="0"/>
          <w:numId w:val="3"/>
        </w:numPr>
      </w:pPr>
      <w:r>
        <w:t xml:space="preserve">Does performance decrease gradually as more tokens are removed?</w:t>
      </w:r>
    </w:p>
    <w:p>
      <w:pPr>
        <w:pStyle w:val="ListParagraph"/>
        <w:numPr>
          <w:ilvl w:val="0"/>
          <w:numId w:val="3"/>
        </w:numPr>
      </w:pPr>
      <w:r>
        <w:t xml:space="preserve">Which parts of the image are removed during pruning?</w:t>
      </w:r>
    </w:p>
    <w:p>
      <w:pPr>
        <w:pStyle w:val="ListParagraph"/>
        <w:numPr>
          <w:ilvl w:val="0"/>
          <w:numId w:val="3"/>
        </w:numPr>
      </w:pPr>
      <w:r>
        <w:t xml:space="preserve">Are text-rich regions removed more frequently than other regions?</w:t>
      </w:r>
    </w:p>
    <w:p>
      <w:pPr>
        <w:pStyle w:val="Heading1"/>
      </w:pPr>
      <w:r>
        <w:t xml:space="preserve">2. Method</w:t>
      </w:r>
    </w:p>
    <w:p>
      <w:r>
        <w:rPr>
          <w:b/>
          <w:bCs/>
        </w:rPr>
        <w:t xml:space="preserve">Model. </w:t>
      </w:r>
      <w:r>
        <w:t xml:space="preserve">Qwen2.5-VL-7B-Instruct, the model with the largest observed degradation, run on a single NVIDIA A100-40GB with FlashAttention-2.</w:t>
      </w:r>
    </w:p>
    <w:p>
      <w:r>
        <w:rPr>
          <w:b/>
          <w:bCs/>
        </w:rPr>
        <w:t xml:space="preserve">Datasets. </w:t>
      </w:r>
      <w:r>
        <w:t xml:space="preserve">TextVQA and DocVQA (text-heavy), ChartQA (charts), and AI2D (diagrams), chosen to span everything from heavy to light text dependence. Metrics: accuracy (TextVQA, AI2D), ANLS (DocVQA), relaxed accuracy (ChartQA), evaluated with the standard lmms-eval harness.</w:t>
      </w:r>
    </w:p>
    <w:p>
      <w:r>
        <w:rPr>
          <w:b/>
          <w:bCs/>
        </w:rPr>
        <w:t xml:space="preserve">Retention control. </w:t>
      </w:r>
      <w:r>
        <w:t xml:space="preserve">BTP's retention is hard-coded across three halving stages (final 12.5%). We parameterised it via an environment variable so any target retention can be swept, and clamped an index-selection step that overflowed at high retention.</w:t>
      </w:r>
    </w:p>
    <w:p>
      <w:r>
        <w:rPr>
          <w:b/>
          <w:bCs/>
        </w:rPr>
        <w:t xml:space="preserve">Token instrumentation. </w:t>
      </w:r>
      <w:r>
        <w:t xml:space="preserve">We logged the exact image-token indices retained at each of the three pruning stages, composed them to the final 12.5% set, and mapped each token to its image patch (Qwen's merged patch grid). Text regions were located with EasyOCR to measure how often text vs. non-text patches are pruned.</w:t>
      </w:r>
    </w:p>
    <w:p>
      <w:r>
        <w:rPr>
          <w:b/>
          <w:bCs/>
        </w:rPr>
        <w:t xml:space="preserve">Evaluation note. </w:t>
      </w:r>
      <w:r>
        <w:t xml:space="preserve">Benchmark runs here use fixed-size sample subsets (500 examples per dataset) rather than the full validation sets, so absolute scores may differ slightly from a full-set run; the effect sizes we report are far larger than this sampling variation. This also accounts for the TextVQA baseline of 86.2 here versus 82.7 in the earlier full-set reproduction: the two runs are identical in model, prompt, evaluator version, split and normalization, and differ only in sample size (a 500-sample subset here vs. the full 5,000-sample validation set). Under BTP, both collapse to roughly 23.</w:t>
      </w:r>
    </w:p>
    <w:p>
      <w:pPr>
        <w:pStyle w:val="Heading1"/>
      </w:pPr>
      <w:r>
        <w:t xml:space="preserve">3. Experiment 1: Does the Failure Spread?</w:t>
      </w:r>
    </w:p>
    <w:p>
      <w:r>
        <w:t xml:space="preserve">Baseline vs. BTP across all four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1600"/>
        <w:gridCol w:w="1560"/>
      </w:tblGrid>
      <w:tr>
        <w:trPr>
          <w:tblHeader/>
        </w:trPr>
        <w:tc>
          <w:tcPr>
            <w:tcW w:type="dxa" w:w="2600"/>
            <w:tcBorders>
              <w:top w:val="single" w:color="CCCCCC" w:sz="1"/>
              <w:left w:val="single" w:color="CCCCCC" w:sz="1"/>
              <w:bottom w:val="single" w:color="CCCCCC" w:sz="1"/>
              <w:right w:val="single" w:color="CCCCCC" w:sz="1"/>
            </w:tcBorders>
            <w:shd w:fill="1F3B5C" w:val="clear"/>
            <w:tcMar>
              <w:top w:type="dxa" w:w="60"/>
              <w:left w:type="dxa" w:w="110"/>
              <w:bottom w:type="dxa" w:w="60"/>
              <w:right w:type="dxa" w:w="110"/>
            </w:tcMar>
          </w:tcPr>
          <w:p>
            <w:pPr>
              <w:jc w:val="left"/>
            </w:pPr>
            <w:r>
              <w:rPr>
                <w:b/>
                <w:bCs/>
                <w:color w:val="FFFFFF"/>
                <w:sz w:val="19"/>
                <w:szCs w:val="19"/>
              </w:rPr>
              <w:t xml:space="preserve">Dataset</w:t>
            </w:r>
          </w:p>
        </w:tc>
        <w:tc>
          <w:tcPr>
            <w:tcW w:type="dxa" w:w="1800"/>
            <w:tcBorders>
              <w:top w:val="single" w:color="CCCCCC" w:sz="1"/>
              <w:left w:val="single" w:color="CCCCCC" w:sz="1"/>
              <w:bottom w:val="single" w:color="CCCCCC" w:sz="1"/>
              <w:right w:val="single" w:color="CCCCCC" w:sz="1"/>
            </w:tcBorders>
            <w:shd w:fill="1F3B5C" w:val="clear"/>
            <w:tcMar>
              <w:top w:type="dxa" w:w="60"/>
              <w:left w:type="dxa" w:w="110"/>
              <w:bottom w:type="dxa" w:w="60"/>
              <w:right w:type="dxa" w:w="110"/>
            </w:tcMar>
          </w:tcPr>
          <w:p>
            <w:pPr>
              <w:jc w:val="center"/>
            </w:pPr>
            <w:r>
              <w:rPr>
                <w:b/>
                <w:bCs/>
                <w:color w:val="FFFFFF"/>
                <w:sz w:val="19"/>
                <w:szCs w:val="19"/>
              </w:rPr>
              <w:t xml:space="preserve">Metric</w:t>
            </w:r>
          </w:p>
        </w:tc>
        <w:tc>
          <w:tcPr>
            <w:tcW w:type="dxa" w:w="1800"/>
            <w:tcBorders>
              <w:top w:val="single" w:color="CCCCCC" w:sz="1"/>
              <w:left w:val="single" w:color="CCCCCC" w:sz="1"/>
              <w:bottom w:val="single" w:color="CCCCCC" w:sz="1"/>
              <w:right w:val="single" w:color="CCCCCC" w:sz="1"/>
            </w:tcBorders>
            <w:shd w:fill="1F3B5C" w:val="clear"/>
            <w:tcMar>
              <w:top w:type="dxa" w:w="60"/>
              <w:left w:type="dxa" w:w="110"/>
              <w:bottom w:type="dxa" w:w="60"/>
              <w:right w:type="dxa" w:w="110"/>
            </w:tcMar>
          </w:tcPr>
          <w:p>
            <w:pPr>
              <w:jc w:val="center"/>
            </w:pPr>
            <w:r>
              <w:rPr>
                <w:b/>
                <w:bCs/>
                <w:color w:val="FFFFFF"/>
                <w:sz w:val="19"/>
                <w:szCs w:val="19"/>
              </w:rPr>
              <w:t xml:space="preserve">Baseline</w:t>
            </w:r>
          </w:p>
        </w:tc>
        <w:tc>
          <w:tcPr>
            <w:tcW w:type="dxa" w:w="1600"/>
            <w:tcBorders>
              <w:top w:val="single" w:color="CCCCCC" w:sz="1"/>
              <w:left w:val="single" w:color="CCCCCC" w:sz="1"/>
              <w:bottom w:val="single" w:color="CCCCCC" w:sz="1"/>
              <w:right w:val="single" w:color="CCCCCC" w:sz="1"/>
            </w:tcBorders>
            <w:shd w:fill="1F3B5C" w:val="clear"/>
            <w:tcMar>
              <w:top w:type="dxa" w:w="60"/>
              <w:left w:type="dxa" w:w="110"/>
              <w:bottom w:type="dxa" w:w="60"/>
              <w:right w:type="dxa" w:w="110"/>
            </w:tcMar>
          </w:tcPr>
          <w:p>
            <w:pPr>
              <w:jc w:val="center"/>
            </w:pPr>
            <w:r>
              <w:rPr>
                <w:b/>
                <w:bCs/>
                <w:color w:val="FFFFFF"/>
                <w:sz w:val="19"/>
                <w:szCs w:val="19"/>
              </w:rPr>
              <w:t xml:space="preserve">BTP</w:t>
            </w:r>
          </w:p>
        </w:tc>
        <w:tc>
          <w:tcPr>
            <w:tcW w:type="dxa" w:w="1560"/>
            <w:tcBorders>
              <w:top w:val="single" w:color="CCCCCC" w:sz="1"/>
              <w:left w:val="single" w:color="CCCCCC" w:sz="1"/>
              <w:bottom w:val="single" w:color="CCCCCC" w:sz="1"/>
              <w:right w:val="single" w:color="CCCCCC" w:sz="1"/>
            </w:tcBorders>
            <w:shd w:fill="1F3B5C" w:val="clear"/>
            <w:tcMar>
              <w:top w:type="dxa" w:w="60"/>
              <w:left w:type="dxa" w:w="110"/>
              <w:bottom w:type="dxa" w:w="60"/>
              <w:right w:type="dxa" w:w="110"/>
            </w:tcMar>
          </w:tcPr>
          <w:p>
            <w:pPr>
              <w:jc w:val="center"/>
            </w:pPr>
            <w:r>
              <w:rPr>
                <w:b/>
                <w:bCs/>
                <w:color w:val="FFFFFF"/>
                <w:sz w:val="19"/>
                <w:szCs w:val="19"/>
              </w:rPr>
              <w:t xml:space="preserve">Drop</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color w:val="000000"/>
                <w:sz w:val="19"/>
                <w:szCs w:val="19"/>
              </w:rPr>
              <w:t xml:space="preserve">TextVQA</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color w:val="000000"/>
                <w:sz w:val="19"/>
                <w:szCs w:val="19"/>
              </w:rPr>
              <w:t xml:space="preserve">Accuracy</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color w:val="000000"/>
                <w:sz w:val="19"/>
                <w:szCs w:val="19"/>
              </w:rPr>
              <w:t xml:space="preserve">86.2</w:t>
            </w:r>
          </w:p>
        </w:tc>
        <w:tc>
          <w:tcPr>
            <w:tcW w:type="dxa" w:w="1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C0392B"/>
                <w:sz w:val="19"/>
                <w:szCs w:val="19"/>
              </w:rPr>
              <w:t xml:space="preserve">23.3</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C0392B"/>
                <w:sz w:val="19"/>
                <w:szCs w:val="19"/>
              </w:rPr>
              <w:t xml:space="preserve">−62.9</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color w:val="000000"/>
                <w:sz w:val="19"/>
                <w:szCs w:val="19"/>
              </w:rPr>
              <w:t xml:space="preserve">DocVQA</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color w:val="000000"/>
                <w:sz w:val="19"/>
                <w:szCs w:val="19"/>
              </w:rPr>
              <w:t xml:space="preserve">ANLS</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color w:val="000000"/>
                <w:sz w:val="19"/>
                <w:szCs w:val="19"/>
              </w:rPr>
              <w:t xml:space="preserve">94.7</w:t>
            </w:r>
          </w:p>
        </w:tc>
        <w:tc>
          <w:tcPr>
            <w:tcW w:type="dxa" w:w="1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C0392B"/>
                <w:sz w:val="19"/>
                <w:szCs w:val="19"/>
              </w:rPr>
              <w:t xml:space="preserve">19.2</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C0392B"/>
                <w:sz w:val="19"/>
                <w:szCs w:val="19"/>
              </w:rPr>
              <w:t xml:space="preserve">−75.5</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color w:val="000000"/>
                <w:sz w:val="19"/>
                <w:szCs w:val="19"/>
              </w:rPr>
              <w:t xml:space="preserve">ChartQA</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color w:val="000000"/>
                <w:sz w:val="19"/>
                <w:szCs w:val="19"/>
              </w:rPr>
              <w:t xml:space="preserve">Relaxed acc.</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color w:val="000000"/>
                <w:sz w:val="19"/>
                <w:szCs w:val="19"/>
              </w:rPr>
              <w:t xml:space="preserve">76.8</w:t>
            </w:r>
          </w:p>
        </w:tc>
        <w:tc>
          <w:tcPr>
            <w:tcW w:type="dxa" w:w="1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C0392B"/>
                <w:sz w:val="19"/>
                <w:szCs w:val="19"/>
              </w:rPr>
              <w:t xml:space="preserve">29.0</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C0392B"/>
                <w:sz w:val="19"/>
                <w:szCs w:val="19"/>
              </w:rPr>
              <w:t xml:space="preserve">−47.8</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color w:val="000000"/>
                <w:sz w:val="19"/>
                <w:szCs w:val="19"/>
              </w:rPr>
              <w:t xml:space="preserve">AI2D</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color w:val="000000"/>
                <w:sz w:val="19"/>
                <w:szCs w:val="19"/>
              </w:rPr>
              <w:t xml:space="preserve">Accuracy</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color w:val="000000"/>
                <w:sz w:val="19"/>
                <w:szCs w:val="19"/>
              </w:rPr>
              <w:t xml:space="preserve">86.4</w:t>
            </w:r>
          </w:p>
        </w:tc>
        <w:tc>
          <w:tcPr>
            <w:tcW w:type="dxa" w:w="1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1E8E5A"/>
                <w:sz w:val="19"/>
                <w:szCs w:val="19"/>
              </w:rPr>
              <w:t xml:space="preserve">79.6</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1E8E5A"/>
                <w:sz w:val="19"/>
                <w:szCs w:val="19"/>
              </w:rPr>
              <w:t xml:space="preserve">−6.8</w:t>
            </w:r>
          </w:p>
        </w:tc>
      </w:tr>
    </w:tbl>
    <w:p>
      <w:r>
        <w:rPr>
          <w:b/>
          <w:bCs/>
        </w:rPr>
        <w:t xml:space="preserve">Finding. </w:t>
      </w:r>
      <w:r>
        <w:t xml:space="preserve">The drop is not limited to TextVQA. </w:t>
      </w:r>
      <w:r>
        <w:rPr>
          <w:b/>
          <w:bCs/>
        </w:rPr>
        <w:t xml:space="preserve">All evaluated text-intensive benchmarks showed large degradation</w:t>
      </w:r>
      <w:r>
        <w:t xml:space="preserve">, with TextVQA, DocVQA and ChartQA falling between 48 and 76 points. AI2D, which relies more on diagram layout and arrows than on reading dense text, degraded far less (6.8 points). This contrast is consistent with the failure being tied to dense text reading rather than visual reasoning in general, though AI2D on its own does not conclusively isolate dense text as the only causal factor. (This addresses our first question.)</w:t>
      </w:r>
    </w:p>
    <w:p>
      <w:pPr>
        <w:pStyle w:val="Heading1"/>
      </w:pPr>
      <w:r>
        <w:t xml:space="preserve">4. Experiment 2: It Breaks Instantly, Not Slowly</w:t>
      </w:r>
    </w:p>
    <w:p>
      <w:r>
        <w:t xml:space="preserve">We swept retention from 100% down to 12.5% on TextVQA and DocVQA:</w:t>
      </w:r>
    </w:p>
    <w:p>
      <w:pPr>
        <w:jc w:val="center"/>
      </w:pPr>
      <w:r>
        <w:drawing>
          <wp:inline distT="0" distB="0" distL="0" distR="0">
            <wp:extent cx="5334000" cy="3305175"/>
            <wp:effectExtent t="0" r="0" b="0" l="0"/>
            <wp:docPr id="1" name="Figure 1. Performance vs. token retention. The collapse is a cliff between 100% and 90%, then a flat floor. It is not a gradual decline." descr="Figure 1. Performance vs. token retention. The collapse is a cliff between 100% and 90%, then a flat floor. It is not a gradual decline." title="Figure 1. Performance vs. token retention. The collapse is a cliff between 100% and 90%, then a flat floor. It is not a gradual dec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05175"/>
                    </a:xfrm>
                    <a:prstGeom prst="rect">
                      <a:avLst/>
                    </a:prstGeom>
                  </pic:spPr>
                </pic:pic>
              </a:graphicData>
            </a:graphic>
          </wp:inline>
        </w:drawing>
      </w:r>
    </w:p>
    <w:p>
      <w:pPr>
        <w:spacing w:after="180"/>
        <w:jc w:val="center"/>
      </w:pPr>
      <w:r>
        <w:rPr>
          <w:i/>
          <w:iCs/>
          <w:color w:val="5A6B7B"/>
          <w:sz w:val="18"/>
          <w:szCs w:val="18"/>
        </w:rPr>
        <w:t xml:space="preserve">Figure 1. Performance vs. token retention. The collapse is a cliff between 100% and 90%, then a flat floor. It is not a gradual decline.</w:t>
      </w:r>
    </w:p>
    <w:p>
      <w:r>
        <w:rPr>
          <w:b/>
          <w:bCs/>
        </w:rPr>
        <w:t xml:space="preserve">Finding. </w:t>
      </w:r>
      <w:r>
        <w:t xml:space="preserve">We expected a gentle slope: keep fewer tokens, lose a little accuracy. Instead we got a cliff. The moment pruning starts, even at </w:t>
      </w:r>
      <w:r>
        <w:rPr>
          <w:b/>
          <w:bCs/>
        </w:rPr>
        <w:t xml:space="preserve">90% retention</w:t>
      </w:r>
      <w:r>
        <w:t xml:space="preserve"> (trimming just 10% of tokens), TextVQA has already collapsed (86.2 down to 23.3), and it stays flat all the way to 12.5%. There is no safe pruning level for text among those we tested. (This addresses our second question.)</w:t>
      </w:r>
    </w:p>
    <w:p>
      <w:pPr>
        <w:pStyle w:val="Heading2"/>
      </w:pPr>
      <w:r>
        <w:t xml:space="preserve">Retention verification</w:t>
      </w:r>
    </w:p>
    <w:p>
      <w:r>
        <w:t xml:space="preserve">Because a collapse at 90% retention is surprising, we verified the pruning schedule directly: for each configured level we logged the number and percentage of image tokens actually retained after each of the three pruning stages (one representative image, 888 image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600"/>
        <w:gridCol w:w="2160"/>
      </w:tblGrid>
      <w:tr>
        <w:trPr>
          <w:tblHeader/>
        </w:trPr>
        <w:tc>
          <w:tcPr>
            <w:tcW w:type="dxa" w:w="2000"/>
            <w:tcBorders>
              <w:top w:val="single" w:color="CCCCCC" w:sz="1"/>
              <w:left w:val="single" w:color="CCCCCC" w:sz="1"/>
              <w:bottom w:val="single" w:color="CCCCCC" w:sz="1"/>
              <w:right w:val="single" w:color="CCCCCC" w:sz="1"/>
            </w:tcBorders>
            <w:shd w:fill="1F3B5C" w:val="clear"/>
            <w:tcMar>
              <w:top w:type="dxa" w:w="60"/>
              <w:left w:type="dxa" w:w="110"/>
              <w:bottom w:type="dxa" w:w="60"/>
              <w:right w:type="dxa" w:w="110"/>
            </w:tcMar>
          </w:tcPr>
          <w:p>
            <w:pPr>
              <w:jc w:val="left"/>
            </w:pPr>
            <w:r>
              <w:rPr>
                <w:b/>
                <w:bCs/>
                <w:color w:val="FFFFFF"/>
                <w:sz w:val="19"/>
                <w:szCs w:val="19"/>
              </w:rPr>
              <w:t xml:space="preserve">Configured</w:t>
            </w:r>
          </w:p>
        </w:tc>
        <w:tc>
          <w:tcPr>
            <w:tcW w:type="dxa" w:w="2600"/>
            <w:tcBorders>
              <w:top w:val="single" w:color="CCCCCC" w:sz="1"/>
              <w:left w:val="single" w:color="CCCCCC" w:sz="1"/>
              <w:bottom w:val="single" w:color="CCCCCC" w:sz="1"/>
              <w:right w:val="single" w:color="CCCCCC" w:sz="1"/>
            </w:tcBorders>
            <w:shd w:fill="1F3B5C" w:val="clear"/>
            <w:tcMar>
              <w:top w:type="dxa" w:w="60"/>
              <w:left w:type="dxa" w:w="110"/>
              <w:bottom w:type="dxa" w:w="60"/>
              <w:right w:type="dxa" w:w="110"/>
            </w:tcMar>
          </w:tcPr>
          <w:p>
            <w:pPr>
              <w:jc w:val="center"/>
            </w:pPr>
            <w:r>
              <w:rPr>
                <w:b/>
                <w:bCs/>
                <w:color w:val="FFFFFF"/>
                <w:sz w:val="19"/>
                <w:szCs w:val="19"/>
              </w:rPr>
              <w:t xml:space="preserve">After stage 1</w:t>
            </w:r>
          </w:p>
        </w:tc>
        <w:tc>
          <w:tcPr>
            <w:tcW w:type="dxa" w:w="2600"/>
            <w:tcBorders>
              <w:top w:val="single" w:color="CCCCCC" w:sz="1"/>
              <w:left w:val="single" w:color="CCCCCC" w:sz="1"/>
              <w:bottom w:val="single" w:color="CCCCCC" w:sz="1"/>
              <w:right w:val="single" w:color="CCCCCC" w:sz="1"/>
            </w:tcBorders>
            <w:shd w:fill="1F3B5C" w:val="clear"/>
            <w:tcMar>
              <w:top w:type="dxa" w:w="60"/>
              <w:left w:type="dxa" w:w="110"/>
              <w:bottom w:type="dxa" w:w="60"/>
              <w:right w:type="dxa" w:w="110"/>
            </w:tcMar>
          </w:tcPr>
          <w:p>
            <w:pPr>
              <w:jc w:val="center"/>
            </w:pPr>
            <w:r>
              <w:rPr>
                <w:b/>
                <w:bCs/>
                <w:color w:val="FFFFFF"/>
                <w:sz w:val="19"/>
                <w:szCs w:val="19"/>
              </w:rPr>
              <w:t xml:space="preserve">After stage 2</w:t>
            </w:r>
          </w:p>
        </w:tc>
        <w:tc>
          <w:tcPr>
            <w:tcW w:type="dxa" w:w="2160"/>
            <w:tcBorders>
              <w:top w:val="single" w:color="CCCCCC" w:sz="1"/>
              <w:left w:val="single" w:color="CCCCCC" w:sz="1"/>
              <w:bottom w:val="single" w:color="CCCCCC" w:sz="1"/>
              <w:right w:val="single" w:color="CCCCCC" w:sz="1"/>
            </w:tcBorders>
            <w:shd w:fill="1F3B5C" w:val="clear"/>
            <w:tcMar>
              <w:top w:type="dxa" w:w="60"/>
              <w:left w:type="dxa" w:w="110"/>
              <w:bottom w:type="dxa" w:w="60"/>
              <w:right w:type="dxa" w:w="110"/>
            </w:tcMar>
          </w:tcPr>
          <w:p>
            <w:pPr>
              <w:jc w:val="center"/>
            </w:pPr>
            <w:r>
              <w:rPr>
                <w:b/>
                <w:bCs/>
                <w:color w:val="FFFFFF"/>
                <w:sz w:val="19"/>
                <w:szCs w:val="19"/>
              </w:rPr>
              <w:t xml:space="preserve">After stage 3 (final)</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color w:val="000000"/>
                <w:sz w:val="19"/>
                <w:szCs w:val="19"/>
              </w:rPr>
              <w:t xml:space="preserve">90%</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color w:val="000000"/>
                <w:sz w:val="19"/>
                <w:szCs w:val="19"/>
              </w:rPr>
              <w:t xml:space="preserve">857 (96.5%)</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color w:val="000000"/>
                <w:sz w:val="19"/>
                <w:szCs w:val="19"/>
              </w:rPr>
              <w:t xml:space="preserve">827 (93.1%)</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000000"/>
                <w:sz w:val="19"/>
                <w:szCs w:val="19"/>
              </w:rPr>
              <w:t xml:space="preserve">798 (89.9%)</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color w:val="000000"/>
                <w:sz w:val="19"/>
                <w:szCs w:val="19"/>
              </w:rPr>
              <w:t xml:space="preserve">75%</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color w:val="000000"/>
                <w:sz w:val="19"/>
                <w:szCs w:val="19"/>
              </w:rPr>
              <w:t xml:space="preserve">806 (90.8%)</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color w:val="000000"/>
                <w:sz w:val="19"/>
                <w:szCs w:val="19"/>
              </w:rPr>
              <w:t xml:space="preserve">732 (82.4%)</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000000"/>
                <w:sz w:val="19"/>
                <w:szCs w:val="19"/>
              </w:rPr>
              <w:t xml:space="preserve">665 (74.9%)</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color w:val="000000"/>
                <w:sz w:val="19"/>
                <w:szCs w:val="19"/>
              </w:rPr>
              <w:t xml:space="preserve">50%</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color w:val="000000"/>
                <w:sz w:val="19"/>
                <w:szCs w:val="19"/>
              </w:rPr>
              <w:t xml:space="preserve">704 (79.3%)</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color w:val="000000"/>
                <w:sz w:val="19"/>
                <w:szCs w:val="19"/>
              </w:rPr>
              <w:t xml:space="preserve">558 (62.8%)</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000000"/>
                <w:sz w:val="19"/>
                <w:szCs w:val="19"/>
              </w:rPr>
              <w:t xml:space="preserve">442 (49.8%)</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color w:val="000000"/>
                <w:sz w:val="19"/>
                <w:szCs w:val="19"/>
              </w:rPr>
              <w:t xml:space="preserve">25%</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color w:val="000000"/>
                <w:sz w:val="19"/>
                <w:szCs w:val="19"/>
              </w:rPr>
              <w:t xml:space="preserve">559 (63.0%)</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color w:val="000000"/>
                <w:sz w:val="19"/>
                <w:szCs w:val="19"/>
              </w:rPr>
              <w:t xml:space="preserve">352 (39.6%)</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000000"/>
                <w:sz w:val="19"/>
                <w:szCs w:val="19"/>
              </w:rPr>
              <w:t xml:space="preserve">221 (24.9%)</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color w:val="000000"/>
                <w:sz w:val="19"/>
                <w:szCs w:val="19"/>
              </w:rPr>
              <w:t xml:space="preserve">12.5%</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color w:val="000000"/>
                <w:sz w:val="19"/>
                <w:szCs w:val="19"/>
              </w:rPr>
              <w:t xml:space="preserve">444 (50.0%)</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color w:val="000000"/>
                <w:sz w:val="19"/>
                <w:szCs w:val="19"/>
              </w:rPr>
              <w:t xml:space="preserve">222 (25.0%)</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000000"/>
                <w:sz w:val="19"/>
                <w:szCs w:val="19"/>
              </w:rPr>
              <w:t xml:space="preserve">111 (12.5%)</w:t>
            </w:r>
          </w:p>
        </w:tc>
      </w:tr>
    </w:tbl>
    <w:p>
      <w:r>
        <w:t xml:space="preserve">The final retained fraction matches the configured level at every setting, and the 12.5% case reproduces BTP's native three-halving schedule exactly. So the collapse is </w:t>
      </w:r>
      <w:r>
        <w:rPr>
          <w:b/>
          <w:bCs/>
        </w:rPr>
        <w:t xml:space="preserve">not</w:t>
      </w:r>
      <w:r>
        <w:t xml:space="preserve"> a configuration or schedule artifact. It also sharpens the question: at 90% retention only about 10% of tokens are removed, which is too few for token loss alone to explain the collapse. This points to the </w:t>
      </w:r>
      <w:r>
        <w:rPr>
          <w:b/>
          <w:bCs/>
        </w:rPr>
        <w:t xml:space="preserve">pruning operation itself</w:t>
      </w:r>
      <w:r>
        <w:t xml:space="preserve"> (re-indexing the remaining tokens and rewriting their position embeddings after each cut) as a likely contributing factor, alongside low text redundancy, rather than sheer token count.</w:t>
      </w:r>
    </w:p>
    <w:p>
      <w:pPr>
        <w:pStyle w:val="Heading1"/>
      </w:pPr>
      <w:r>
        <w:t xml:space="preserve">5. Experiment 3: What Actually Gets Thrown Away</w:t>
      </w:r>
    </w:p>
    <w:p>
      <w:r>
        <w:t xml:space="preserve">We overlaid the removed patches (red) at the deployed 12.5% operating point. At this level 87.5% of image patches are discarded.</w:t>
      </w:r>
    </w:p>
    <w:p>
      <w:pPr>
        <w:jc w:val="center"/>
      </w:pPr>
      <w:r>
        <w:drawing>
          <wp:inline distT="0" distB="0" distL="0" distR="0">
            <wp:extent cx="5334000" cy="2428875"/>
            <wp:effectExtent t="0" r="0" b="0" l="0"/>
            <wp:docPr id="1" name="Figure 2. ChartQA: the chart is almost entirely removed. A few surviving patches cluster on the left-side labels, but far too few remain to actually read the values." descr="Figure 2. ChartQA: the chart is almost entirely removed. A few surviving patches cluster on the left-side labels, but far too few remain to actually read the values." title="Figure 2. ChartQA: the chart is almost entirely removed. A few surviving patches cluster on the left-side labels, but far too few remain to actually read the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28875"/>
                    </a:xfrm>
                    <a:prstGeom prst="rect">
                      <a:avLst/>
                    </a:prstGeom>
                  </pic:spPr>
                </pic:pic>
              </a:graphicData>
            </a:graphic>
          </wp:inline>
        </w:drawing>
      </w:r>
    </w:p>
    <w:p>
      <w:pPr>
        <w:spacing w:after="180"/>
        <w:jc w:val="center"/>
      </w:pPr>
      <w:r>
        <w:rPr>
          <w:i/>
          <w:iCs/>
          <w:color w:val="5A6B7B"/>
          <w:sz w:val="18"/>
          <w:szCs w:val="18"/>
        </w:rPr>
        <w:t xml:space="preserve">Figure 2. ChartQA: the chart is almost entirely removed. A few surviving patches cluster on the left-side labels, but far too few remain to actually read the values.</w:t>
      </w:r>
    </w:p>
    <w:p>
      <w:pPr>
        <w:jc w:val="center"/>
      </w:pPr>
      <w:r>
        <w:drawing>
          <wp:inline distT="0" distB="0" distL="0" distR="0">
            <wp:extent cx="2857500" cy="2857500"/>
            <wp:effectExtent t="0" r="0" b="0" l="0"/>
            <wp:docPr id="1" name="Figure 3. A text-heavy natural image: the label text (“Sublimely / Self-Righteous”) is buried under removed patches." descr="Figure 3. A text-heavy natural image: the label text (“Sublimely / Self-Righteous”) is buried under removed patches." title="Figure 3. A text-heavy natural image: the label text (“Sublimely / Self-Righteous”) is buried under removed pat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2857500"/>
                    </a:xfrm>
                    <a:prstGeom prst="rect">
                      <a:avLst/>
                    </a:prstGeom>
                  </pic:spPr>
                </pic:pic>
              </a:graphicData>
            </a:graphic>
          </wp:inline>
        </w:drawing>
      </w:r>
    </w:p>
    <w:p>
      <w:pPr>
        <w:spacing w:after="180"/>
        <w:jc w:val="center"/>
      </w:pPr>
      <w:r>
        <w:rPr>
          <w:i/>
          <w:iCs/>
          <w:color w:val="5A6B7B"/>
          <w:sz w:val="18"/>
          <w:szCs w:val="18"/>
        </w:rPr>
        <w:t xml:space="preserve">Figure 3. A text-heavy natural image: the label text (“Sublimely / Self-Righteous”) is buried under removed patches.</w:t>
      </w:r>
    </w:p>
    <w:p>
      <w:r>
        <w:rPr>
          <w:b/>
          <w:bCs/>
        </w:rPr>
        <w:t xml:space="preserve">Finding. </w:t>
      </w:r>
      <w:r>
        <w:t xml:space="preserve">At the 12.5% setting BTP actually ships with, almost nothing survives. What little does remain leans toward the detailed, text-heavy regions, but there is nowhere near enough left to keep the text readable. (This answers our third question.)</w:t>
      </w:r>
    </w:p>
    <w:p>
      <w:pPr>
        <w:pStyle w:val="Heading1"/>
      </w:pPr>
      <w:r>
        <w:t xml:space="preserve">6. Experiment 4: Is Text the Target? Surprisingly, No.</w:t>
      </w:r>
    </w:p>
    <w:p>
      <w:r>
        <w:rPr>
          <w:b/>
          <w:bCs/>
        </w:rPr>
        <w:t xml:space="preserve">Method. </w:t>
      </w:r>
      <w:r>
        <w:t xml:space="preserve">We analysed 12 images (5 TextVQA, 4 ChartQA, 3 AI2D). For each, EasyOCR (English detector) produced text bounding boxes, which we projected onto Qwen's merged patch grid: a patch was labelled “text” if it fell inside any detected box (confidence ≥ 0.3). We then measured what fraction of text patches and of non-text patches were dropped at the final 12.5% operating point, using the retained-index logs from the instrumentation.</w:t>
      </w:r>
    </w:p>
    <w:p>
      <w:pPr>
        <w:jc w:val="center"/>
      </w:pPr>
      <w:r>
        <w:drawing>
          <wp:inline distT="0" distB="0" distL="0" distR="0">
            <wp:extent cx="5334000" cy="3257550"/>
            <wp:effectExtent t="0" r="0" b="0" l="0"/>
            <wp:docPr id="1" name="Figure 4. BTP removes less text than non-text across every category, yet all of these tasks still collapse." descr="Figure 4. BTP removes less text than non-text across every category, yet all of these tasks still collapse." title="Figure 4. BTP removes less text than non-text across every category, yet all of these tasks still collap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257550"/>
                    </a:xfrm>
                    <a:prstGeom prst="rect">
                      <a:avLst/>
                    </a:prstGeom>
                  </pic:spPr>
                </pic:pic>
              </a:graphicData>
            </a:graphic>
          </wp:inline>
        </w:drawing>
      </w:r>
    </w:p>
    <w:p>
      <w:pPr>
        <w:spacing w:after="180"/>
        <w:jc w:val="center"/>
      </w:pPr>
      <w:r>
        <w:rPr>
          <w:i/>
          <w:iCs/>
          <w:color w:val="5A6B7B"/>
          <w:sz w:val="18"/>
          <w:szCs w:val="18"/>
        </w:rPr>
        <w:t xml:space="preserve">Figure 4. BTP removes less text than non-text across every category, yet all of these tasks still collapse.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CCCCCC" w:sz="1"/>
              <w:left w:val="single" w:color="CCCCCC" w:sz="1"/>
              <w:bottom w:val="single" w:color="CCCCCC" w:sz="1"/>
              <w:right w:val="single" w:color="CCCCCC" w:sz="1"/>
            </w:tcBorders>
            <w:shd w:fill="1F3B5C" w:val="clear"/>
            <w:tcMar>
              <w:top w:type="dxa" w:w="60"/>
              <w:left w:type="dxa" w:w="110"/>
              <w:bottom w:type="dxa" w:w="60"/>
              <w:right w:type="dxa" w:w="110"/>
            </w:tcMar>
          </w:tcPr>
          <w:p>
            <w:pPr>
              <w:jc w:val="left"/>
            </w:pPr>
            <w:r>
              <w:rPr>
                <w:b/>
                <w:bCs/>
                <w:color w:val="FFFFFF"/>
                <w:sz w:val="19"/>
                <w:szCs w:val="19"/>
              </w:rPr>
              <w:t xml:space="preserve">Category</w:t>
            </w:r>
          </w:p>
        </w:tc>
        <w:tc>
          <w:tcPr>
            <w:tcW w:type="dxa" w:w="3000"/>
            <w:tcBorders>
              <w:top w:val="single" w:color="CCCCCC" w:sz="1"/>
              <w:left w:val="single" w:color="CCCCCC" w:sz="1"/>
              <w:bottom w:val="single" w:color="CCCCCC" w:sz="1"/>
              <w:right w:val="single" w:color="CCCCCC" w:sz="1"/>
            </w:tcBorders>
            <w:shd w:fill="1F3B5C" w:val="clear"/>
            <w:tcMar>
              <w:top w:type="dxa" w:w="60"/>
              <w:left w:type="dxa" w:w="110"/>
              <w:bottom w:type="dxa" w:w="60"/>
              <w:right w:type="dxa" w:w="110"/>
            </w:tcMar>
          </w:tcPr>
          <w:p>
            <w:pPr>
              <w:jc w:val="center"/>
            </w:pPr>
            <w:r>
              <w:rPr>
                <w:b/>
                <w:bCs/>
                <w:color w:val="FFFFFF"/>
                <w:sz w:val="19"/>
                <w:szCs w:val="19"/>
              </w:rPr>
              <w:t xml:space="preserve">% text removed</w:t>
            </w:r>
          </w:p>
        </w:tc>
        <w:tc>
          <w:tcPr>
            <w:tcW w:type="dxa" w:w="3160"/>
            <w:tcBorders>
              <w:top w:val="single" w:color="CCCCCC" w:sz="1"/>
              <w:left w:val="single" w:color="CCCCCC" w:sz="1"/>
              <w:bottom w:val="single" w:color="CCCCCC" w:sz="1"/>
              <w:right w:val="single" w:color="CCCCCC" w:sz="1"/>
            </w:tcBorders>
            <w:shd w:fill="1F3B5C" w:val="clear"/>
            <w:tcMar>
              <w:top w:type="dxa" w:w="60"/>
              <w:left w:type="dxa" w:w="110"/>
              <w:bottom w:type="dxa" w:w="60"/>
              <w:right w:type="dxa" w:w="110"/>
            </w:tcMar>
          </w:tcPr>
          <w:p>
            <w:pPr>
              <w:jc w:val="center"/>
            </w:pPr>
            <w:r>
              <w:rPr>
                <w:b/>
                <w:bCs/>
                <w:color w:val="FFFFFF"/>
                <w:sz w:val="19"/>
                <w:szCs w:val="19"/>
              </w:rPr>
              <w:t xml:space="preserve">% non-text removed</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color w:val="000000"/>
                <w:sz w:val="19"/>
                <w:szCs w:val="19"/>
              </w:rPr>
              <w:t xml:space="preserve">Text-heavy</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color w:val="000000"/>
                <w:sz w:val="19"/>
                <w:szCs w:val="19"/>
              </w:rPr>
              <w:t xml:space="preserve">~79.6</w:t>
            </w:r>
          </w:p>
        </w:tc>
        <w:tc>
          <w:tcPr>
            <w:tcW w:type="dxa" w:w="3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color w:val="000000"/>
                <w:sz w:val="19"/>
                <w:szCs w:val="19"/>
              </w:rPr>
              <w:t xml:space="preserve">~89.3</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color w:val="000000"/>
                <w:sz w:val="19"/>
                <w:szCs w:val="19"/>
              </w:rPr>
              <w:t xml:space="preserve">Charts</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000000"/>
                <w:sz w:val="19"/>
                <w:szCs w:val="19"/>
              </w:rPr>
              <w:t xml:space="preserve">73.7</w:t>
            </w:r>
          </w:p>
        </w:tc>
        <w:tc>
          <w:tcPr>
            <w:tcW w:type="dxa" w:w="3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000000"/>
                <w:sz w:val="19"/>
                <w:szCs w:val="19"/>
              </w:rPr>
              <w:t xml:space="preserve">94.5</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color w:val="000000"/>
                <w:sz w:val="19"/>
                <w:szCs w:val="19"/>
              </w:rPr>
              <w:t xml:space="preserve">Diagrams</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color w:val="000000"/>
                <w:sz w:val="19"/>
                <w:szCs w:val="19"/>
              </w:rPr>
              <w:t xml:space="preserve">~74.6</w:t>
            </w:r>
          </w:p>
        </w:tc>
        <w:tc>
          <w:tcPr>
            <w:tcW w:type="dxa" w:w="3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color w:val="000000"/>
                <w:sz w:val="19"/>
                <w:szCs w:val="19"/>
              </w:rPr>
              <w:t xml:space="preserve">~87.9</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bCs/>
                <w:color w:val="000000"/>
                <w:sz w:val="19"/>
                <w:szCs w:val="19"/>
              </w:rPr>
              <w:t xml:space="preserve">Overall</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1C7293"/>
                <w:sz w:val="19"/>
                <w:szCs w:val="19"/>
              </w:rPr>
              <w:t xml:space="preserve">74.8</w:t>
            </w:r>
          </w:p>
        </w:tc>
        <w:tc>
          <w:tcPr>
            <w:tcW w:type="dxa" w:w="3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C0392B"/>
                <w:sz w:val="19"/>
                <w:szCs w:val="19"/>
              </w:rPr>
              <w:t xml:space="preserve">90.2</w:t>
            </w:r>
          </w:p>
        </w:tc>
      </w:tr>
    </w:tbl>
    <w:p>
      <w:r>
        <w:rPr>
          <w:b/>
          <w:bCs/>
        </w:rPr>
        <w:t xml:space="preserve">Finding. </w:t>
      </w:r>
      <w:r>
        <w:t xml:space="preserve">On this sample, the answer to our fourth question is </w:t>
      </w:r>
      <w:r>
        <w:rPr>
          <w:b/>
          <w:bCs/>
        </w:rPr>
        <w:t xml:space="preserve">no</w:t>
      </w:r>
      <w:r>
        <w:t xml:space="preserve">: BTP removed text </w:t>
      </w:r>
      <w:r>
        <w:rPr>
          <w:b/>
          <w:bCs/>
        </w:rPr>
        <w:t xml:space="preserve">less</w:t>
      </w:r>
      <w:r>
        <w:t xml:space="preserve"> often than non-text (74.8% vs. 90.2% overall), and on charts it clearly retained text preferentially (73.7% vs. 94.5%). This is consistent with the selection working as intended, recognising text as informative and keeping more of it, so the failure does not appear to come from BTP targeting text.</w:t>
      </w:r>
    </w:p>
    <w:p>
      <w:r>
        <w:rPr>
          <w:b/>
          <w:bCs/>
        </w:rPr>
        <w:t xml:space="preserve">Limitations of this analysis. </w:t>
      </w:r>
      <w:r>
        <w:t xml:space="preserve">It is a small, qualitative sample (12 images); OCR boxes are rectangular and coarse, so they over-count text patches at the edges; the box-to-patch projection is approximate; and text vs. non-text is a binary label that ignores partial coverage. The direction of the result (text retained more than non-text) is clear, but the exact percentages should be read as indicative, not precise.</w:t>
      </w:r>
    </w:p>
    <w:p>
      <w:pPr>
        <w:pStyle w:val="Heading1"/>
      </w:pPr>
      <w:r>
        <w:t xml:space="preserve">7. Limitations</w:t>
      </w:r>
    </w:p>
    <w:p>
      <w:pPr>
        <w:pStyle w:val="ListParagraph"/>
        <w:numPr>
          <w:ilvl w:val="0"/>
          <w:numId w:val="2"/>
        </w:numPr>
      </w:pPr>
      <w:r>
        <w:rPr>
          <w:b w:val="false"/>
          <w:bCs w:val="false"/>
        </w:rPr>
        <w:t xml:space="preserve">Single model. All results are on Qwen2.5-VL-7B; we have not tested whether the same behaviour appears on other vision-language models.</w:t>
      </w:r>
    </w:p>
    <w:p>
      <w:pPr>
        <w:pStyle w:val="ListParagraph"/>
        <w:numPr>
          <w:ilvl w:val="0"/>
          <w:numId w:val="2"/>
        </w:numPr>
      </w:pPr>
      <w:r>
        <w:rPr>
          <w:b w:val="false"/>
          <w:bCs w:val="false"/>
        </w:rPr>
        <w:t xml:space="preserve">Limited benchmark set. Four benchmarks, evaluated on reduced-size subsets; broader coverage and full-set runs would strengthen the conclusions.</w:t>
      </w:r>
    </w:p>
    <w:p>
      <w:pPr>
        <w:pStyle w:val="ListParagraph"/>
        <w:numPr>
          <w:ilvl w:val="0"/>
          <w:numId w:val="2"/>
        </w:numPr>
      </w:pPr>
      <w:r>
        <w:rPr>
          <w:b w:val="false"/>
          <w:bCs w:val="false"/>
        </w:rPr>
        <w:t xml:space="preserve">Small, qualitative token visualization. The overlay and OCR-overlap analysis use 12 images with a coarse, approximate text-to-patch mapping.</w:t>
      </w:r>
    </w:p>
    <w:p>
      <w:pPr>
        <w:pStyle w:val="ListParagraph"/>
        <w:numPr>
          <w:ilvl w:val="0"/>
          <w:numId w:val="2"/>
        </w:numPr>
      </w:pPr>
      <w:r>
        <w:rPr>
          <w:b w:val="false"/>
          <w:bCs w:val="false"/>
        </w:rPr>
        <w:t xml:space="preserve">No direct intervention. We did not confirm the proposed mechanism, for example by forcing text tokens to be retained and checking whether accuracy recovers.</w:t>
      </w:r>
    </w:p>
    <w:p>
      <w:pPr>
        <w:pStyle w:val="ListParagraph"/>
        <w:numPr>
          <w:ilvl w:val="0"/>
          <w:numId w:val="2"/>
        </w:numPr>
      </w:pPr>
      <w:r>
        <w:rPr>
          <w:b w:val="false"/>
          <w:bCs w:val="false"/>
        </w:rPr>
        <w:t xml:space="preserve">Alternative explanations remain open. Besides low text redundancy, the collapse could stem from the pruning operation disrupting spatial continuity or position embeddings, or from interference with early text-feature formation. These are not ruled out.</w:t>
      </w:r>
    </w:p>
    <w:p>
      <w:pPr>
        <w:pStyle w:val="Heading1"/>
      </w:pPr>
      <w:r>
        <w:t xml:space="preserve">8. Conclusion</w:t>
      </w:r>
    </w:p>
    <w:p>
      <w:pPr>
        <w:pStyle w:val="Heading2"/>
      </w:pPr>
      <w:r>
        <w:t xml:space="preserve">Established findings</w:t>
      </w:r>
    </w:p>
    <w:p>
      <w:pPr>
        <w:pStyle w:val="ListParagraph"/>
        <w:numPr>
          <w:ilvl w:val="0"/>
          <w:numId w:val="2"/>
        </w:numPr>
      </w:pPr>
      <w:r>
        <w:rPr>
          <w:b w:val="false"/>
          <w:bCs w:val="false"/>
        </w:rPr>
        <w:t xml:space="preserve">BTP causes large degradation on all evaluated text-intensive benchmarks (TextVQA, DocVQA, ChartQA), while diagram reasoning (AI2D) is affected far less.</w:t>
      </w:r>
    </w:p>
    <w:p>
      <w:pPr>
        <w:pStyle w:val="ListParagraph"/>
        <w:numPr>
          <w:ilvl w:val="0"/>
          <w:numId w:val="2"/>
        </w:numPr>
      </w:pPr>
      <w:r>
        <w:rPr>
          <w:b w:val="false"/>
          <w:bCs w:val="false"/>
        </w:rPr>
        <w:t xml:space="preserve">The degradation is abrupt: it appears even at 90% retention and stays flat down to 12.5%; the retention schedule was verified to match the configured levels, so this is not a configuration artifact.</w:t>
      </w:r>
    </w:p>
    <w:p>
      <w:pPr>
        <w:pStyle w:val="ListParagraph"/>
        <w:numPr>
          <w:ilvl w:val="0"/>
          <w:numId w:val="2"/>
        </w:numPr>
      </w:pPr>
      <w:r>
        <w:rPr>
          <w:b w:val="false"/>
          <w:bCs w:val="false"/>
        </w:rPr>
        <w:t xml:space="preserve">On the sampled images, BTP removes text patches less often than non-text patches, so it does not preferentially target text.</w:t>
      </w:r>
    </w:p>
    <w:p>
      <w:pPr>
        <w:pStyle w:val="Heading2"/>
      </w:pPr>
      <w:r>
        <w:t xml:space="preserve">Supported interpretation (leading hypothesis, not proven)</w:t>
      </w:r>
    </w:p>
    <w:p>
      <w:r>
        <w:t xml:space="preserve">The evidence points away from faulty token selection and toward a property of the content. </w:t>
      </w:r>
      <w:r>
        <w:rPr>
          <w:b/>
          <w:bCs/>
        </w:rPr>
        <w:t xml:space="preserve">Our leading, evidence-supported hypothesis is that text has very low redundancy</w:t>
      </w:r>
      <w:r>
        <w:t xml:space="preserve">: a photo repeats similar patches, so dropping most is survivable (consistent with AI2D holding up), whereas each character on a page is unique, so even modest loss can make text unreadable. We present this as the best-supported explanation given the data, </w:t>
      </w:r>
      <w:r>
        <w:rPr>
          <w:b/>
          <w:bCs/>
        </w:rPr>
        <w:t xml:space="preserve">not as conclusively proven</w:t>
      </w:r>
      <w:r>
        <w:t xml:space="preserve">. The verification adds a nuance: because the collapse appears even when about 90% of tokens are retained, the pruning operation itself, which re-indexes tokens and rewrites position embeddings, may disrupt spatial or positional structure and contribute independently of how many tokens remain.</w:t>
      </w:r>
    </w:p>
    <w:p>
      <w:pPr>
        <w:pStyle w:val="Heading2"/>
      </w:pPr>
      <w:r>
        <w:t xml:space="preserve">Proposed future directions (not implemented here)</w:t>
      </w:r>
    </w:p>
    <w:p>
      <w:pPr>
        <w:pStyle w:val="ListParagraph"/>
        <w:numPr>
          <w:ilvl w:val="0"/>
          <w:numId w:val="2"/>
        </w:numPr>
      </w:pPr>
      <w:r>
        <w:rPr>
          <w:b w:val="false"/>
          <w:bCs w:val="false"/>
        </w:rPr>
        <w:t xml:space="preserve">Content-aware retention: detect text-dense regions and exempt them from pruning, so only redundant background is cut.</w:t>
      </w:r>
    </w:p>
    <w:p>
      <w:pPr>
        <w:pStyle w:val="ListParagraph"/>
        <w:numPr>
          <w:ilvl w:val="0"/>
          <w:numId w:val="2"/>
        </w:numPr>
      </w:pPr>
      <w:r>
        <w:rPr>
          <w:b w:val="false"/>
          <w:bCs w:val="false"/>
        </w:rPr>
        <w:t xml:space="preserve">Task-adaptive pruning: vary pruning strength by task, aggressive for natural images, gentle for documents and charts.</w:t>
      </w:r>
    </w:p>
    <w:p>
      <w:pPr>
        <w:pStyle w:val="ListParagraph"/>
        <w:numPr>
          <w:ilvl w:val="0"/>
          <w:numId w:val="2"/>
        </w:numPr>
      </w:pPr>
      <w:r>
        <w:rPr>
          <w:b w:val="false"/>
          <w:bCs w:val="false"/>
        </w:rPr>
        <w:t xml:space="preserve">A direct intervention (force-retaining text tokens) to test the redundancy hypothesis, and a cross-model check to see whether the effect generalises.</w:t>
      </w:r>
    </w:p>
    <w:p>
      <w:pPr>
        <w:spacing w:before="240"/>
      </w:pPr>
      <w:r>
        <w:rPr>
          <w:i/>
          <w:iCs/>
          <w:color w:val="1C7293"/>
          <w:sz w:val="18"/>
          <w:szCs w:val="18"/>
        </w:rPr>
        <w:t xml:space="preserve">Repository: github.com/milab-iitj-dev/btp-reproduction</w:t>
      </w:r>
    </w:p>
    <w:p>
      <w:r>
        <w:rPr>
          <w:i/>
          <w:iCs/>
          <w:color w:val="5A6B7B"/>
          <w:sz w:val="18"/>
          <w:szCs w:val="18"/>
        </w:rPr>
        <w:t xml:space="preserve">Final state tagged v1.0-text-failure-study  ·  content commit: 4475c2881c40c30cb8a09f0c352e29522d25e284</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B7B"/>
        <w:sz w:val="16"/>
        <w:szCs w:val="16"/>
      </w:rPr>
      <w:t xml:space="preserve">BTP Text-Failure Study  ·  </w:t>
    </w:r>
    <w:r>
      <w:rPr>
        <w:color w:val="5A6B7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B5C"/>
      <w:sz w:val="28"/>
      <w:szCs w:val="28"/>
    </w:rPr>
  </w:style>
  <w:style w:type="paragraph" w:styleId="Heading2">
    <w:name w:val="Heading 2"/>
    <w:basedOn w:val="Normal"/>
    <w:next w:val="Normal"/>
    <w:qFormat/>
    <w:pPr>
      <w:spacing w:after="100" w:before="160"/>
      <w:outlineLvl w:val="1"/>
    </w:pPr>
    <w:rPr>
      <w:rFonts w:ascii="Arial" w:cs="Arial" w:eastAsia="Arial" w:hAnsi="Arial"/>
      <w:b/>
      <w:bCs/>
      <w:color w:val="1C729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7ddc17db52c3e40d8d8ed470b299ddf39a1f103.png"/><Relationship Id="rId9" Type="http://schemas.openxmlformats.org/officeDocument/2006/relationships/image" Target="media/469bfd871754b43eca039a4b483d3fd90cf42bf4.png"/><Relationship Id="rId10" Type="http://schemas.openxmlformats.org/officeDocument/2006/relationships/image" Target="media/28d0c070a0e259e1e0679a733f66e59574005874.png"/><Relationship Id="rId11" Type="http://schemas.openxmlformats.org/officeDocument/2006/relationships/image" Target="media/75d0af87b241901a3eed26f6a5539fe834c880c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2026-07-17T09:29:11.646Z</dcterms:created>
  <dcterms:modified xsi:type="dcterms:W3CDTF">2026-07-17T09:29:11.646Z</dcterms:modified>
</cp:coreProperties>
</file>

<file path=docProps/custom.xml><?xml version="1.0" encoding="utf-8"?>
<Properties xmlns="http://schemas.openxmlformats.org/officeDocument/2006/custom-properties" xmlns:vt="http://schemas.openxmlformats.org/officeDocument/2006/docPropsVTypes"/>
</file>