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85" w:rsidRDefault="00D179E5">
      <w:r>
        <w:fldChar w:fldCharType="begin"/>
      </w:r>
      <w:r>
        <w:instrText xml:space="preserve"> HYPERLINK "https://habrahabr.ru/company/ods/blog/322626/" </w:instrText>
      </w:r>
      <w:r>
        <w:fldChar w:fldCharType="separate"/>
      </w:r>
      <w:r>
        <w:rPr>
          <w:rStyle w:val="a3"/>
          <w:rFonts w:ascii="Arial" w:hAnsi="Arial" w:cs="Arial"/>
          <w:color w:val="487284"/>
          <w:shd w:val="clear" w:color="auto" w:fill="FFFFFF"/>
        </w:rPr>
        <w:t xml:space="preserve">Первичный анализ данных с </w:t>
      </w:r>
      <w:proofErr w:type="spellStart"/>
      <w:r>
        <w:rPr>
          <w:rStyle w:val="a3"/>
          <w:rFonts w:ascii="Arial" w:hAnsi="Arial" w:cs="Arial"/>
          <w:color w:val="487284"/>
          <w:shd w:val="clear" w:color="auto" w:fill="FFFFFF"/>
        </w:rPr>
        <w:t>Pandas</w:t>
      </w:r>
      <w:proofErr w:type="spellEnd"/>
      <w:r>
        <w:fldChar w:fldCharType="end"/>
      </w:r>
    </w:p>
    <w:p w:rsidR="00D0039D" w:rsidRPr="00B1093C" w:rsidRDefault="00D0039D" w:rsidP="00D003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093C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— это библиотека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, предоставляющая широкие возможности для анализа данных. Данные, с которыми работают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датасаентисты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>, часто хранятся в форме табличек — например, в форматах .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csv</w:t>
      </w:r>
      <w:proofErr w:type="spellEnd"/>
      <w:proofErr w:type="gramStart"/>
      <w:r w:rsidRPr="00B1093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tsv</w:t>
      </w:r>
      <w:proofErr w:type="spellEnd"/>
      <w:proofErr w:type="gramEnd"/>
      <w:r w:rsidRPr="00B1093C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. С помощью библиотеки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такие табличные данные очень удобно загружать, обрабатывать и анализировать с помощью SQL-подобных запросов. А в связке с библиотеками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предоставляет широкие возможности визуального анализа табличных данных.</w:t>
      </w:r>
    </w:p>
    <w:p w:rsidR="00D0039D" w:rsidRPr="00B1093C" w:rsidRDefault="00D0039D" w:rsidP="00D0039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sz w:val="24"/>
          <w:szCs w:val="24"/>
        </w:rPr>
        <w:t xml:space="preserve">Основными структурами данных в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являются классы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. Первый из них представляет собой одномерный индексированный массив данных некоторого фиксированного типа. Второй – это двухмерная структура данных, представляющая собой таблицу, каждый столбец которой содержит данные одного типа. Можно представлять её как словарь объектов типа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. Структура </w:t>
      </w:r>
      <w:proofErr w:type="spellStart"/>
      <w:r w:rsidRPr="00B1093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1093C">
        <w:rPr>
          <w:rFonts w:ascii="Times New Roman" w:hAnsi="Times New Roman" w:cs="Times New Roman"/>
          <w:sz w:val="24"/>
          <w:szCs w:val="24"/>
        </w:rPr>
        <w:t xml:space="preserve"> отлично подходит для представления реальных данных: строки соответствуют признаковым описаниям отдельных объектов, а столбцы соответствуют признакам.</w:t>
      </w:r>
    </w:p>
    <w:p w:rsidR="00D0039D" w:rsidRPr="00B1093C" w:rsidRDefault="00D0039D" w:rsidP="00D0039D">
      <w:pPr>
        <w:pStyle w:val="a4"/>
        <w:spacing w:before="120" w:beforeAutospacing="0" w:after="90" w:afterAutospacing="0"/>
        <w:rPr>
          <w:color w:val="212121"/>
        </w:rPr>
      </w:pPr>
      <w:r w:rsidRPr="00B1093C">
        <w:rPr>
          <w:color w:val="212121"/>
        </w:rPr>
        <w:t>Библиотека </w:t>
      </w:r>
      <w:proofErr w:type="spellStart"/>
      <w:r w:rsidRPr="00B1093C">
        <w:rPr>
          <w:rStyle w:val="HTML"/>
          <w:rFonts w:ascii="Times New Roman" w:hAnsi="Times New Roman" w:cs="Times New Roman"/>
          <w:color w:val="212121"/>
          <w:sz w:val="24"/>
          <w:szCs w:val="24"/>
        </w:rPr>
        <w:t>pandas</w:t>
      </w:r>
      <w:proofErr w:type="spellEnd"/>
      <w:r w:rsidRPr="00B1093C">
        <w:rPr>
          <w:color w:val="212121"/>
        </w:rPr>
        <w:t xml:space="preserve"> активно используется в современном </w:t>
      </w:r>
      <w:proofErr w:type="spellStart"/>
      <w:r w:rsidRPr="00B1093C">
        <w:rPr>
          <w:color w:val="212121"/>
        </w:rPr>
        <w:t>data</w:t>
      </w:r>
      <w:proofErr w:type="spellEnd"/>
      <w:r w:rsidRPr="00B1093C">
        <w:rPr>
          <w:color w:val="212121"/>
        </w:rPr>
        <w:t xml:space="preserve"> </w:t>
      </w:r>
      <w:proofErr w:type="spellStart"/>
      <w:r w:rsidRPr="00B1093C">
        <w:rPr>
          <w:color w:val="212121"/>
        </w:rPr>
        <w:t>science</w:t>
      </w:r>
      <w:proofErr w:type="spellEnd"/>
      <w:r w:rsidRPr="00B1093C">
        <w:rPr>
          <w:color w:val="212121"/>
        </w:rPr>
        <w:t xml:space="preserve"> для работы с данными, которые могут быть представлены в виде таблиц (а это очень, очень большая часть данных)</w:t>
      </w:r>
    </w:p>
    <w:p w:rsidR="00D0039D" w:rsidRPr="00B1093C" w:rsidRDefault="00D0039D" w:rsidP="00D0039D">
      <w:pPr>
        <w:pStyle w:val="a4"/>
        <w:spacing w:before="120" w:beforeAutospacing="0" w:after="90" w:afterAutospacing="0"/>
        <w:rPr>
          <w:color w:val="212121"/>
        </w:rPr>
      </w:pPr>
      <w:proofErr w:type="spellStart"/>
      <w:r w:rsidRPr="00B1093C">
        <w:rPr>
          <w:rStyle w:val="HTML"/>
          <w:rFonts w:ascii="Times New Roman" w:hAnsi="Times New Roman" w:cs="Times New Roman"/>
          <w:color w:val="212121"/>
          <w:sz w:val="24"/>
          <w:szCs w:val="24"/>
        </w:rPr>
        <w:t>pandas</w:t>
      </w:r>
      <w:proofErr w:type="spellEnd"/>
      <w:r w:rsidRPr="00B1093C">
        <w:rPr>
          <w:color w:val="212121"/>
        </w:rPr>
        <w:t xml:space="preserve"> есть в пакете </w:t>
      </w:r>
      <w:proofErr w:type="spellStart"/>
      <w:r w:rsidRPr="00B1093C">
        <w:rPr>
          <w:color w:val="212121"/>
        </w:rPr>
        <w:t>Anaconda</w:t>
      </w:r>
      <w:proofErr w:type="spellEnd"/>
      <w:r w:rsidRPr="00B1093C">
        <w:rPr>
          <w:color w:val="212121"/>
        </w:rPr>
        <w:t xml:space="preserve">, но если вдруг у Вас её по каким-то причинам нет, то можно установить, </w:t>
      </w:r>
      <w:proofErr w:type="spellStart"/>
      <w:r w:rsidRPr="00B1093C">
        <w:rPr>
          <w:color w:val="212121"/>
        </w:rPr>
        <w:t>раскомментировав</w:t>
      </w:r>
      <w:proofErr w:type="spellEnd"/>
      <w:r w:rsidRPr="00B1093C">
        <w:rPr>
          <w:color w:val="212121"/>
        </w:rPr>
        <w:t xml:space="preserve"> следующую команду</w:t>
      </w:r>
    </w:p>
    <w:p w:rsidR="00D0039D" w:rsidRPr="00B1093C" w:rsidRDefault="00D0039D" w:rsidP="00D0039D">
      <w:pPr>
        <w:pStyle w:val="a4"/>
        <w:spacing w:before="120" w:beforeAutospacing="0" w:after="90" w:afterAutospacing="0"/>
        <w:rPr>
          <w:color w:val="212121"/>
        </w:rPr>
      </w:pPr>
      <w:r w:rsidRPr="00B1093C">
        <w:rPr>
          <w:noProof/>
        </w:rPr>
        <w:drawing>
          <wp:inline distT="0" distB="0" distL="0" distR="0" wp14:anchorId="27B46F0A" wp14:editId="613920A8">
            <wp:extent cx="1780032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1824" cy="3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E5" w:rsidRDefault="00D0039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F39D4" wp14:editId="06AB4F7A">
            <wp:extent cx="31813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7" w:rsidRPr="00B1093C" w:rsidRDefault="00AA67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22051E" wp14:editId="6374EDFD">
            <wp:extent cx="3139616" cy="28989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357" cy="3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9D" w:rsidRPr="00B1093C" w:rsidRDefault="00D0039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Будем показывать основные методы в деле, анализируя </w:t>
      </w:r>
      <w:hyperlink r:id="rId8" w:history="1">
        <w:r w:rsidRPr="00B1093C">
          <w:rPr>
            <w:rStyle w:val="a3"/>
            <w:rFonts w:ascii="Times New Roman" w:hAnsi="Times New Roman" w:cs="Times New Roman"/>
            <w:color w:val="992298"/>
            <w:sz w:val="24"/>
            <w:szCs w:val="24"/>
            <w:shd w:val="clear" w:color="auto" w:fill="FFFFFF"/>
          </w:rPr>
          <w:t>набор данных</w:t>
        </w:r>
      </w:hyperlink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по от</w:t>
      </w:r>
      <w:r w:rsidR="00E93F7D"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току клиентов телеком-оператора. 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Прочитаем данные (метод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read_csv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и посмотрим на первые 5 строк с помощью метода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head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93F7D" w:rsidRPr="00B1093C" w:rsidRDefault="00E93F7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E7C8AD" wp14:editId="74E5645A">
            <wp:extent cx="91440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14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3876"/>
        <w:gridCol w:w="2585"/>
      </w:tblGrid>
      <w:tr w:rsidR="00E93F7D" w:rsidRPr="00E93F7D" w:rsidTr="00B1093C">
        <w:trPr>
          <w:trHeight w:val="423"/>
          <w:tblHeader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Тип</w:t>
            </w:r>
          </w:p>
        </w:tc>
      </w:tr>
      <w:tr w:rsidR="00E93F7D" w:rsidRPr="00E93F7D" w:rsidTr="00B1093C">
        <w:trPr>
          <w:trHeight w:val="529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State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Буквенный код штата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номинальный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Account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length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Как долго клиент обслуживается компанией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52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Area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Префикс номера телефона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International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plan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Международный роуминг (подключен/не подключен)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бинарный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Voice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mail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plan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Голосовая почта (подключена/не подключена)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бинарный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Number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vmail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messages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Количество голосовых сообщений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64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day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длительность разговоров днем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529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day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calls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Общее количество звонков днем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day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charge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сумма оплаты за услуги днем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64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eve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длительность разговоров вечером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eve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calls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Общее количество звонков вечером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eve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charge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сумма оплаты за услуги вечером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64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night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длительность разговоров ночью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night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calls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Общее количество звонков ночью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night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charge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сумма оплаты за услуги ночью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intl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длительность международных разговоров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intl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calls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Общее количество международных разговоров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64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Total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intl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charge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Общая сумма оплаты за международные разговоры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  <w:tr w:rsidR="00E93F7D" w:rsidRPr="00E93F7D" w:rsidTr="00B1093C">
        <w:trPr>
          <w:trHeight w:val="672"/>
        </w:trPr>
        <w:tc>
          <w:tcPr>
            <w:tcW w:w="315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lastRenderedPageBreak/>
              <w:t>Customer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service</w:t>
            </w:r>
            <w:proofErr w:type="spellEnd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3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calls</w:t>
            </w:r>
            <w:proofErr w:type="spellEnd"/>
          </w:p>
        </w:tc>
        <w:tc>
          <w:tcPr>
            <w:tcW w:w="3876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Число обращений в сервисный центр</w:t>
            </w:r>
          </w:p>
        </w:tc>
        <w:tc>
          <w:tcPr>
            <w:tcW w:w="25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93F7D" w:rsidRPr="00E93F7D" w:rsidRDefault="00E93F7D" w:rsidP="00E93F7D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E93F7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количественный</w:t>
            </w:r>
          </w:p>
        </w:tc>
      </w:tr>
    </w:tbl>
    <w:p w:rsidR="00E93F7D" w:rsidRPr="00B1093C" w:rsidRDefault="00E93F7D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D0039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Целевая переменная: </w:t>
      </w:r>
      <w:proofErr w:type="spellStart"/>
      <w:r w:rsidRPr="00B1093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Churn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– Признак оттока, бинарный признак (1 – потеря клиента, то есть отток). Потом мы будем строить модели, прогнозирующие этот признак по остальным, поэтому мы и назвали его целевым.</w:t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Посмотрим на размер данных, названия признаков и их типы.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12AE1" wp14:editId="132966D9">
            <wp:extent cx="151447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Выведем названия столбцов:</w:t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AF0241" wp14:editId="6CDEC57D">
            <wp:extent cx="14382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Чтобы посмотреть общую информацию по </w:t>
      </w:r>
      <w:proofErr w:type="spellStart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датафрейму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всем признакам, воспользуемся методом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info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069F44" wp14:editId="7386CB31">
            <wp:extent cx="1371600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Изменить тип колонки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можно с помощью метода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astype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Применим этот метод к признаку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Churn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переведём его в </w:t>
      </w:r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int64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07A1D8" wp14:editId="2AC2526A">
            <wp:extent cx="33813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describe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показывает основные статистические характеристики данных по каждому числовому признаку (типы </w:t>
      </w:r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int64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float64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): число непропущенных значений, среднее, стандартное отклонение, диапазон, медиану, 0.25 и 0.75 квартили.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955B59" wp14:editId="78FC3769">
            <wp:extent cx="117157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Чтобы посмотреть статистику по нечисловым признакам, нужно явно указать интересующие нас типы в параметре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include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3B50D1" wp14:editId="72C818BE">
            <wp:extent cx="307657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категориальных (тип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и булевых (тип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bool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признаков можно воспользоваться методом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value_counts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Посмотрим на распределение данных по нашей целевой переменной —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Churn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E9DF40" wp14:editId="60F5B171">
            <wp:extent cx="2124075" cy="32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Посмотрим на распределение пользователей по переменной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Area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code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Укажем значение параметра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normalize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True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чтобы посмотреть не абсолютные частоты, а относительные.</w:t>
      </w:r>
    </w:p>
    <w:p w:rsidR="00E93F7D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8A76C" wp14:editId="0E32041E">
            <wp:extent cx="34671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D7" w:rsidRDefault="00AA67D7">
      <w:r>
        <w:rPr>
          <w:rFonts w:ascii="Times New Roman" w:hAnsi="Times New Roman" w:cs="Times New Roman"/>
          <w:sz w:val="24"/>
          <w:szCs w:val="24"/>
        </w:rPr>
        <w:t xml:space="preserve">Для подсчета пропущенных значений в фрейме данных используем метод </w:t>
      </w:r>
      <w:hyperlink r:id="rId18" w:anchor="%25D0%25BC%25D0%25B5%25D1%2582%25D0%25BE%25D0%25B4-df.isnull.sum-%25D0%25B4%25D0%25BB%25D1%258F-%25D0%25BF%25D0%25BE%25D0%25B4%25D1%2581%25D1%2587%25D0%25B5%25D1%2582%25D0%25B0-nan-%25D0%25B2%25D1%2585%25D0%25BE%25D0%25B6%25D0%25B4%25D0%25B5%25D0%25BD%25D0%25B8%25D0%25B9" w:history="1">
        <w:proofErr w:type="spellStart"/>
        <w:r>
          <w:rPr>
            <w:rStyle w:val="HTML"/>
            <w:rFonts w:ascii="Consolas" w:eastAsiaTheme="minorHAnsi" w:hAnsi="Consolas"/>
            <w:color w:val="F4645F"/>
            <w:sz w:val="24"/>
            <w:szCs w:val="24"/>
            <w:shd w:val="clear" w:color="auto" w:fill="F0F2F1"/>
          </w:rPr>
          <w:t>df.isnull</w:t>
        </w:r>
        <w:proofErr w:type="spellEnd"/>
        <w:r>
          <w:rPr>
            <w:rStyle w:val="HTML"/>
            <w:rFonts w:ascii="Consolas" w:eastAsiaTheme="minorHAnsi" w:hAnsi="Consolas"/>
            <w:color w:val="F4645F"/>
            <w:sz w:val="24"/>
            <w:szCs w:val="24"/>
            <w:shd w:val="clear" w:color="auto" w:fill="F0F2F1"/>
          </w:rPr>
          <w:t>()</w:t>
        </w:r>
      </w:hyperlink>
      <w:r>
        <w:t xml:space="preserve">, </w:t>
      </w:r>
      <w:r w:rsidRPr="00AA67D7">
        <w:t xml:space="preserve">метод </w:t>
      </w:r>
      <w:proofErr w:type="spellStart"/>
      <w:r w:rsidRPr="00AA67D7">
        <w:rPr>
          <w:rStyle w:val="HTML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isna</w:t>
      </w:r>
      <w:proofErr w:type="spellEnd"/>
      <w:r w:rsidRPr="00AA67D7">
        <w:rPr>
          <w:rStyle w:val="HTML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()</w:t>
      </w:r>
      <w:r w:rsidRPr="00AA67D7">
        <w:t xml:space="preserve"> для подсчета </w:t>
      </w:r>
      <w:proofErr w:type="spellStart"/>
      <w:r w:rsidRPr="00AA67D7">
        <w:t>NaN</w:t>
      </w:r>
      <w:proofErr w:type="spellEnd"/>
      <w:r w:rsidRPr="00AA67D7">
        <w:t xml:space="preserve"> в одной или нескольких колонках</w:t>
      </w:r>
      <w:r>
        <w:t>, например:</w:t>
      </w:r>
    </w:p>
    <w:p w:rsidR="00AA67D7" w:rsidRDefault="00AA67D7">
      <w:r>
        <w:rPr>
          <w:noProof/>
          <w:lang w:eastAsia="ru-RU"/>
        </w:rPr>
        <w:drawing>
          <wp:inline distT="0" distB="0" distL="0" distR="0" wp14:anchorId="0E76C827" wp14:editId="4976E143">
            <wp:extent cx="1601521" cy="340622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0347" cy="3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7D7" w:rsidRDefault="00AA67D7">
      <w:r>
        <w:rPr>
          <w:noProof/>
          <w:lang w:eastAsia="ru-RU"/>
        </w:rPr>
        <w:drawing>
          <wp:inline distT="0" distB="0" distL="0" distR="0" wp14:anchorId="17D4E3E6" wp14:editId="1D40E2B0">
            <wp:extent cx="1781230" cy="2744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5779" cy="2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E93F7D" w:rsidRDefault="00E93F7D" w:rsidP="00E93F7D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Сортировка</w:t>
      </w:r>
    </w:p>
    <w:p w:rsidR="00E93F7D" w:rsidRPr="00E93F7D" w:rsidRDefault="00E93F7D" w:rsidP="00E9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93F7D" w:rsidRPr="00E93F7D" w:rsidRDefault="00E93F7D" w:rsidP="00E9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DataFrame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отсортировать по значению какого-нибудь из признаков. В нашем случае, например, по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Total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day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charge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(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ascending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=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False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сортировки по убыванию):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740CF" wp14:editId="579DBB3C">
            <wp:extent cx="2971800" cy="58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Сортировать можно и по группе столбцов: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5C0381" wp14:editId="0A2719B3">
            <wp:extent cx="4076700" cy="523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E93F7D" w:rsidRDefault="00E93F7D" w:rsidP="00E93F7D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Индексация и извлечение данных</w:t>
      </w:r>
    </w:p>
    <w:p w:rsidR="00E93F7D" w:rsidRPr="00E93F7D" w:rsidRDefault="00E93F7D" w:rsidP="00E9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93F7D" w:rsidRPr="00E93F7D" w:rsidRDefault="00E93F7D" w:rsidP="00E9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DataFrame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индексировать по-разному. В связи с этим рассмотрим различные способы индексации и извлечения нужных нам данных из </w:t>
      </w:r>
      <w:proofErr w:type="spellStart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датафрейма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примере простых вопросов.</w:t>
      </w:r>
    </w:p>
    <w:p w:rsidR="00E93F7D" w:rsidRPr="00E93F7D" w:rsidRDefault="00E93F7D" w:rsidP="00E9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93F7D" w:rsidRPr="00E93F7D" w:rsidRDefault="00E93F7D" w:rsidP="00E9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извлечения отдельного столбца можно использовать конструкцию вида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DataFrame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['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']</w:t>
      </w: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Воспользуемся этим для ответа на вопрос: </w:t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какова доля людей нелояльных пользователей в нашем 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датафрейме</w:t>
      </w:r>
      <w:proofErr w:type="spellEnd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?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7DF91D" wp14:editId="586BA14F">
            <wp:extent cx="387667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E93F7D" w:rsidRDefault="00E93F7D" w:rsidP="00E9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14,5% — довольно плохой показатель для компании, с таким процентом оттока можно и разориться.</w:t>
      </w:r>
    </w:p>
    <w:p w:rsidR="00E93F7D" w:rsidRPr="00E93F7D" w:rsidRDefault="00E93F7D" w:rsidP="00E9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93F7D" w:rsidRPr="00E93F7D" w:rsidRDefault="00E93F7D" w:rsidP="00E9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Очень удобной является </w:t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логическая индексация</w:t>
      </w: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proofErr w:type="spellStart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DataFrame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 одному столбцу. Выглядит она следующим образом: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df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[P(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df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['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'])]</w:t>
      </w: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где 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</w:t>
      </w: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это некоторое логическое условие, проверяемое для каждого элемента столбца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Итогом такой индексации </w:t>
      </w: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является </w:t>
      </w:r>
      <w:proofErr w:type="spellStart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DataFrame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состоящий только из строк, удовлетворяющих условию 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</w:t>
      </w: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по столбцу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93F7D" w:rsidRPr="00E93F7D" w:rsidRDefault="00E93F7D" w:rsidP="00E9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93F7D" w:rsidRPr="00E93F7D" w:rsidRDefault="00E93F7D" w:rsidP="00E93F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93F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Воспользуемся этим для ответа на вопрос: </w:t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каковы средние значения числовых признаков среди нелояльных пользователей?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9323C8" wp14:editId="7FC21B21">
            <wp:extent cx="220980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7D" w:rsidRPr="00B1093C" w:rsidRDefault="00E93F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Скомбинировав предыдущие два вида индексации, ответим на вопрос: </w:t>
      </w:r>
      <w:r w:rsidRPr="00B1093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сколько в среднем в течение дня разговаривают по телефону нелояльные пользователи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E93F7D" w:rsidRPr="00B1093C" w:rsidRDefault="00E93F7D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2A231F" wp14:editId="205A0D06">
            <wp:extent cx="5940425" cy="344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>
      <w:pPr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Какова максимальная длина международных звонков среди лояльных пользователей (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Churn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== 0</w:t>
      </w:r>
      <w:r w:rsidRPr="00B1093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не пользующихся услугой международного роуминга (</w:t>
      </w:r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'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International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plan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' == '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b/>
          <w:bCs/>
          <w:color w:val="222222"/>
          <w:sz w:val="24"/>
          <w:szCs w:val="24"/>
          <w:shd w:val="clear" w:color="auto" w:fill="FFFFFF"/>
        </w:rPr>
        <w:t>'</w:t>
      </w:r>
      <w:r w:rsidRPr="00B1093C">
        <w:rPr>
          <w:rStyle w:val="a6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)?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C1FC55" wp14:editId="5BD9CDA3">
            <wp:extent cx="5940425" cy="414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 w:rsidP="00B10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Датафреймы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индексировать как по названию столбца или строки, так и по порядковому номеру. Для индексации </w:t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 названию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используется метод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loc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 номеру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iloc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1093C" w:rsidRPr="00B1093C" w:rsidRDefault="00B1093C" w:rsidP="00B10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первом случае мы говорим </w:t>
      </w:r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«передай нам значения для </w:t>
      </w:r>
      <w:proofErr w:type="spellStart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id</w:t>
      </w:r>
      <w:proofErr w:type="spellEnd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строк от 0 до 5 и для столбцов от </w:t>
      </w:r>
      <w:proofErr w:type="spellStart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State</w:t>
      </w:r>
      <w:proofErr w:type="spellEnd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до </w:t>
      </w:r>
      <w:proofErr w:type="spellStart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Area</w:t>
      </w:r>
      <w:proofErr w:type="spellEnd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code</w:t>
      </w:r>
      <w:proofErr w:type="spellEnd"/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»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а во втором — </w:t>
      </w:r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«передай нам значения первых </w:t>
      </w:r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u w:val="single"/>
          <w:lang w:eastAsia="ru-RU"/>
        </w:rPr>
        <w:t>пяти</w:t>
      </w:r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 строк в первых трёх столбцах»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1093C" w:rsidRPr="00B1093C" w:rsidRDefault="00B1093C" w:rsidP="00B1093C">
      <w:pPr>
        <w:shd w:val="clear" w:color="auto" w:fill="FFF7D7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Хозяйке на заметку: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когда мы передаём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slice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iloc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датафрейм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слайсится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 обычно. Однако в случае с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loc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учитываются и начало, и конец слайса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CABBD8" wp14:editId="2F7C0314">
            <wp:extent cx="2762250" cy="40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64B5A" wp14:editId="0B333FA3">
            <wp:extent cx="1628775" cy="419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нам нужна первая или последняя строчка </w:t>
      </w:r>
      <w:proofErr w:type="spellStart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датафрейма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пользуемся конструкцией </w:t>
      </w:r>
      <w:proofErr w:type="spellStart"/>
      <w:proofErr w:type="gram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gramEnd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:1]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или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df</w:t>
      </w:r>
      <w:proofErr w:type="spellEnd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[-1:]</w:t>
      </w: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735A3" wp14:editId="4485EB58">
            <wp:extent cx="923925" cy="276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 w:rsidP="00B1093C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Применение функций к ячейкам, столбцам и строкам</w:t>
      </w:r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Применение функции к каждому столбцу: 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apply</w:t>
      </w:r>
      <w:proofErr w:type="spellEnd"/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36FE91" wp14:editId="1F423B32">
            <wp:extent cx="1476375" cy="238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 w:rsidP="00B10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Метод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apply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можно использовать и для того, чтобы применить функцию к каждой строке. Для этого нужно указать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axis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=1.</w:t>
      </w:r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br/>
      </w:r>
    </w:p>
    <w:p w:rsidR="00B1093C" w:rsidRPr="00B1093C" w:rsidRDefault="00B1093C" w:rsidP="00B10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Применение функции к каждой ячейке столбца: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map</w:t>
      </w:r>
      <w:proofErr w:type="spellEnd"/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1093C" w:rsidRPr="00B1093C" w:rsidRDefault="00B1093C" w:rsidP="00B10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Например, метод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map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можно использовать для </w:t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замены значений в колонке</w:t>
      </w: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передав ему в качестве аргумента словарь вида {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old_value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new_value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}: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E7982E" wp14:editId="594C327E">
            <wp:extent cx="519112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Аналогичную операцию можно провернуть с помощью метода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replace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210EE3" wp14:editId="12F26509">
            <wp:extent cx="3743325" cy="542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 w:rsidP="00B1093C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Группировка данных</w:t>
      </w:r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93C" w:rsidRPr="00B1093C" w:rsidRDefault="00B1093C" w:rsidP="00B109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общем случае группировка данных в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Pandas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выглядит следующим образом: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CDDC7" wp14:editId="4CF89FB6">
            <wp:extent cx="4743450" cy="371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 w:rsidP="00B10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 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датафрейму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применяется метод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groupby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который разделяет данные по 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grouping_columns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– признаку или набору признаков.</w:t>
      </w:r>
    </w:p>
    <w:p w:rsidR="00B1093C" w:rsidRPr="00B1093C" w:rsidRDefault="00B1093C" w:rsidP="00B10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Выбираем нужные нам столбцы (</w:t>
      </w:r>
      <w:proofErr w:type="spellStart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columns_to_show</w:t>
      </w:r>
      <w:proofErr w:type="spellEnd"/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:rsidR="00B1093C" w:rsidRPr="00B1093C" w:rsidRDefault="00B1093C" w:rsidP="00B109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 полученным группам применяется функция или несколько функций.</w:t>
      </w:r>
    </w:p>
    <w:p w:rsidR="00B1093C" w:rsidRPr="00B1093C" w:rsidRDefault="00B1093C" w:rsidP="00B1093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1093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Группирование данных в зависимости от значения признака </w:t>
      </w:r>
      <w:proofErr w:type="spellStart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Churn</w:t>
      </w:r>
      <w:proofErr w:type="spellEnd"/>
      <w:r w:rsidRPr="00B109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и вывод статистик по трём столбцам в каждой группе.</w:t>
      </w:r>
    </w:p>
    <w:p w:rsidR="00B1093C" w:rsidRPr="00B1093C" w:rsidRDefault="00B1093C">
      <w:pPr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5C5C2E" wp14:editId="1128F366">
            <wp:extent cx="5940425" cy="6832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3C" w:rsidRPr="00B1093C" w:rsidRDefault="00B1093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Сделаем то же самое, но немного по-другому, передав в </w:t>
      </w:r>
      <w:proofErr w:type="spellStart"/>
      <w:r w:rsidRPr="00B1093C">
        <w:rPr>
          <w:rStyle w:val="HTML"/>
          <w:rFonts w:ascii="Times New Roman" w:eastAsiaTheme="minorHAnsi" w:hAnsi="Times New Roman" w:cs="Times New Roman"/>
          <w:color w:val="222222"/>
          <w:sz w:val="24"/>
          <w:szCs w:val="24"/>
          <w:shd w:val="clear" w:color="auto" w:fill="FFFFFF"/>
        </w:rPr>
        <w:t>agg</w:t>
      </w:r>
      <w:proofErr w:type="spellEnd"/>
      <w:r w:rsidRPr="00B109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список функций:</w:t>
      </w:r>
    </w:p>
    <w:p w:rsidR="00B1093C" w:rsidRPr="00B1093C" w:rsidRDefault="00B1093C" w:rsidP="00B36441">
      <w:pPr>
        <w:pStyle w:val="4"/>
        <w:rPr>
          <w:rFonts w:ascii="Times New Roman" w:hAnsi="Times New Roman" w:cs="Times New Roman"/>
          <w:sz w:val="24"/>
          <w:szCs w:val="24"/>
        </w:rPr>
      </w:pPr>
      <w:r w:rsidRPr="00B109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9584C6" wp14:editId="265A454C">
            <wp:extent cx="5940425" cy="6762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3C" w:rsidRPr="00B1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E0155"/>
    <w:multiLevelType w:val="multilevel"/>
    <w:tmpl w:val="882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E5"/>
    <w:rsid w:val="001F3B2D"/>
    <w:rsid w:val="008012D8"/>
    <w:rsid w:val="00AA67D7"/>
    <w:rsid w:val="00B1093C"/>
    <w:rsid w:val="00B36441"/>
    <w:rsid w:val="00D0039D"/>
    <w:rsid w:val="00D179E5"/>
    <w:rsid w:val="00D44DD5"/>
    <w:rsid w:val="00E93F7D"/>
    <w:rsid w:val="00E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2C9E"/>
  <w15:chartTrackingRefBased/>
  <w15:docId w15:val="{ABD3AA96-45D2-4D7A-92F8-91D9993B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36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9E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0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039D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D0039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93F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3F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B1093C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364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43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0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delftstack.com/ru/howto/python-pandas/how-to-count-the-nan-values-in-a-column-in-pandas-dataframe/" TargetMode="External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s://bigml.com/user/francisco/gallery/dataset/5163ad540c0b5e5b2200038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В. Киселева</dc:creator>
  <cp:keywords/>
  <dc:description/>
  <cp:lastModifiedBy>Светлана В. Киселева</cp:lastModifiedBy>
  <cp:revision>2</cp:revision>
  <dcterms:created xsi:type="dcterms:W3CDTF">2021-03-24T12:54:00Z</dcterms:created>
  <dcterms:modified xsi:type="dcterms:W3CDTF">2021-03-24T12:54:00Z</dcterms:modified>
</cp:coreProperties>
</file>