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167E8">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DATA MODEL &amp; TRANSFORMATION NOTE</w:t>
      </w:r>
    </w:p>
    <w:p w14:paraId="75950BD8">
      <w:pPr>
        <w:jc w:val="left"/>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Case 09 — Removable Media Activity in Research Lab | 14–20 September 2026</w:t>
      </w:r>
    </w:p>
    <w:p w14:paraId="12BD6206">
      <w:pPr>
        <w:pStyle w:val="2"/>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Purpose and Investigation Question</w:t>
      </w:r>
    </w:p>
    <w:p w14:paraId="4FF22983">
      <w:pPr>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note documents the data preparation and report design used for the Case 09 threat-intelligence dashboard. The report investigates removable-media activity in the research lab, focusing on which USB device was used on which host, the relationship between file-read and USB-write events, the approximate write volume, the scope of approval, relevant threat-feed context, and the key evidence gaps.</w:t>
      </w:r>
    </w:p>
    <w:p w14:paraId="0AD81A24">
      <w:pPr>
        <w:pStyle w:val="2"/>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Source Data</w:t>
      </w:r>
      <w:bookmarkStart w:id="0" w:name="_GoBack"/>
      <w:bookmarkEnd w:id="0"/>
    </w:p>
    <w:p w14:paraId="4982B1CA">
      <w:pPr>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source workbook is Case_09_Dataset.xlsx. The supplied dataset contains Events (168 records), Assets (12 records), Feeds (6 records), scoped Allowlist entries (7 records), and a Data_Dictionary. The event period is 14–20 September 2026, and timestamps are treated as UTC.</w:t>
      </w:r>
    </w:p>
    <w:p w14:paraId="072619A6">
      <w:pPr>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Important Events fields used in the investigation include event_id, timestamp_utc, host_id, user_id, event_type, action, file_name, bytes_out, details, and source. The report also uses the normalized device identifier field device_id_normalized in the evidence table. The allowlist and feed records provide context for assessing whether activity was approved and whether an indicator was current at the relevant time.</w:t>
      </w:r>
    </w:p>
    <w:p w14:paraId="7546E7E2">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Data Preparation and Transformation</w:t>
      </w:r>
    </w:p>
    <w:p w14:paraId="6F047DF6">
      <w:pPr>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workbook tables were brought into Power BI for analysis. Field names and the supplied data dictionary were used to interpret the records. Timestamps are presented in UTC so the event sequence can be compared consistently.</w:t>
      </w:r>
    </w:p>
    <w:p w14:paraId="4F011A1F">
      <w:pPr>
        <w:pStyle w:val="23"/>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Event identification: event_id is used to trace individual records back to the source dataset.</w:t>
      </w:r>
    </w:p>
    <w:p w14:paraId="0EC15C42">
      <w:pPr>
        <w:pStyle w:val="23"/>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Event interpretation: event_type and action distinguish USB activity (such as mount, bulk_write and unmount) from file activity (such as bulk_read).</w:t>
      </w:r>
    </w:p>
    <w:p w14:paraId="04D42279">
      <w:pPr>
        <w:pStyle w:val="23"/>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Device analysis: device_id_normalized is used to display a consistent device identifier where available. A blank device value on a file-read event should not automatically be treated as a data error because the record may describe file activity rather than a device-control event.</w:t>
      </w:r>
    </w:p>
    <w:p w14:paraId="25E66A03">
      <w:pPr>
        <w:pStyle w:val="23"/>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Volume analysis: bytes_out is used for write-volume analysis. Power BI may abbreviate large card values using units such as K, M or B; therefore, the displayed “3bn” is a rounded presentation of the all-events total, not the exact USB-9921 write amount.</w:t>
      </w:r>
    </w:p>
    <w:p w14:paraId="37D76297">
      <w:pPr>
        <w:pStyle w:val="23"/>
        <w:spacing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Contextual review: allowlist scope is compared by device, host and approved purpose. Feed status and expiry are considered at the event time; an expired indicator is not treated as current corroboration.</w:t>
      </w:r>
    </w:p>
    <w:p w14:paraId="0E3F01DC">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Key Measures and Interpretation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30"/>
        <w:gridCol w:w="5130"/>
      </w:tblGrid>
      <w:tr w14:paraId="552A65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9" w:hRule="atLeast"/>
        </w:trPr>
        <w:tc>
          <w:tcPr>
            <w:tcW w:w="5130" w:type="dxa"/>
            <w:tcBorders>
              <w:top w:val="single" w:color="000000" w:sz="4" w:space="0"/>
              <w:left w:val="single" w:color="000000" w:sz="4" w:space="0"/>
              <w:bottom w:val="single" w:color="000000" w:sz="4" w:space="0"/>
              <w:right w:val="single" w:color="000000" w:sz="4" w:space="0"/>
              <w:tl2br w:val="nil"/>
            </w:tcBorders>
            <w:shd w:val="clear" w:color="auto" w:fill="FFFFFF"/>
          </w:tcPr>
          <w:p w14:paraId="248E3AE7">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Measure</w:t>
            </w:r>
          </w:p>
        </w:tc>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76DB01E8">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Purpose / interpretation</w:t>
            </w:r>
          </w:p>
        </w:tc>
      </w:tr>
      <w:tr w14:paraId="00A7CA8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603FE16A">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Total Events</w:t>
            </w:r>
          </w:p>
        </w:tc>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7DCF112E">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Count of event records; displayed value: 168.</w:t>
            </w:r>
          </w:p>
        </w:tc>
      </w:tr>
      <w:tr w14:paraId="6D923DE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1" w:hRule="atLeast"/>
        </w:trPr>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6A59CD10">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Affected Hosts</w:t>
            </w:r>
          </w:p>
        </w:tc>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6999F532">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Distinct hosts represented in the event data; displayed value: 12.</w:t>
            </w:r>
          </w:p>
        </w:tc>
      </w:tr>
      <w:tr w14:paraId="2A041B4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1" w:hRule="atLeast"/>
        </w:trPr>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1B6C48C1">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USB Write Events</w:t>
            </w:r>
          </w:p>
        </w:tc>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5AC60012">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Count of USB write events identified for the dashboard; displayed value: 2.</w:t>
            </w:r>
          </w:p>
        </w:tc>
      </w:tr>
      <w:tr w14:paraId="285ACB4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83" w:hRule="atLeast"/>
        </w:trPr>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7953D04E">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Total Bytes Out (All Events)</w:t>
            </w:r>
          </w:p>
        </w:tc>
        <w:tc>
          <w:tcPr>
            <w:tcW w:w="5130" w:type="dxa"/>
            <w:tcBorders>
              <w:top w:val="single" w:color="000000" w:sz="4" w:space="0"/>
              <w:left w:val="single" w:color="000000" w:sz="4" w:space="0"/>
              <w:bottom w:val="single" w:color="000000" w:sz="4" w:space="0"/>
              <w:right w:val="single" w:color="000000" w:sz="4" w:space="0"/>
            </w:tcBorders>
            <w:shd w:val="clear" w:color="auto" w:fill="FFFFFF"/>
          </w:tcPr>
          <w:p w14:paraId="30F6330B">
            <w:pPr>
              <w:spacing w:line="240" w:lineRule="auto"/>
              <w:rPr>
                <w:rFonts w:hint="default" w:ascii="Times New Roman" w:hAnsi="Times New Roman" w:cs="Times New Roman"/>
                <w:b w:val="0"/>
                <w:color w:val="000000" w:themeColor="text1"/>
                <w:sz w:val="24"/>
                <w:szCs w:val="24"/>
                <w14:textFill>
                  <w14:solidFill>
                    <w14:schemeClr w14:val="tx1"/>
                  </w14:solidFill>
                </w14:textFill>
              </w:rPr>
            </w:pPr>
            <w:r>
              <w:rPr>
                <w:rFonts w:hint="default" w:ascii="Times New Roman" w:hAnsi="Times New Roman" w:cs="Times New Roman"/>
                <w:b w:val="0"/>
                <w:color w:val="000000" w:themeColor="text1"/>
                <w:sz w:val="24"/>
                <w:szCs w:val="24"/>
                <w14:textFill>
                  <w14:solidFill>
                    <w14:schemeClr w14:val="tx1"/>
                  </w14:solidFill>
                </w14:textFill>
              </w:rPr>
              <w:t>Sum of bytes_out across the Events data. The total is approximately 2.60 billion bytes and the card may display this as “3bn” due to automatic rounding/abbreviation.</w:t>
            </w:r>
          </w:p>
        </w:tc>
      </w:tr>
    </w:tbl>
    <w:p w14:paraId="38927959">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5. Report Pages and Visual Design</w:t>
      </w:r>
    </w:p>
    <w:p w14:paraId="31FCC55B">
      <w:pPr>
        <w:pStyle w:val="2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Triage: overview cards, host-level activity, action distribution, event timeline, event details and slicers for rapid filtering.</w:t>
      </w:r>
    </w:p>
    <w:p w14:paraId="2765BAA0">
      <w:pPr>
        <w:pStyle w:val="2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Investigation: focused review of USB write events, host activity, allowlist scope and feed context, with event-level tables to support evidence tracing.</w:t>
      </w:r>
    </w:p>
    <w:p w14:paraId="5AD23A95">
      <w:pPr>
        <w:pStyle w:val="23"/>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Intelligence Assessment: concise findings, approval and impact assessment, candidate MITRE ATT&amp;CK mapping, false-positive considerations, next actions, and an evidence-chain table.</w:t>
      </w:r>
    </w:p>
    <w:p w14:paraId="2A16BC43">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 Evidence Chain Used in the Assessment</w:t>
      </w:r>
    </w:p>
    <w:p w14:paraId="6147C25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principal H06 sequence is C09-E138 (USB-9921 mounted at 17:00 UTC), C09-E140 (restricted file materials_trial_raw.csv read at 17:03 UTC), C09-E142 (2,600,000,000-byte bulk write at 17:08 UTC), and C09-E145 (USB-9921 unmounted at 17:11 UTC) on 19 September 2026. This sequence supports a suspected copying event to removable media. It does not, by itself, prove onward disclosure or malicious intent.</w:t>
      </w:r>
    </w:p>
    <w:p w14:paraId="6CFB884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Allowlist entry A09-05 concerns USB-1002 on H05 for inventory export only. It does not establish approval for USB-9921 on H06. The expired feed entry associated with USB-9921 is treated as a limitation rather than current proof of maliciousness.</w:t>
      </w:r>
    </w:p>
    <w:p w14:paraId="465403F4">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7. Limitations and Evidence Gaps</w:t>
      </w:r>
    </w:p>
    <w:p w14:paraId="560F0A1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dashboard relies on the supplied simulated records. The available data does not independently establish who received the copied data, whether it was later shared externally, or the user's intent. The most important missing source is a forensic image or reliable file manifest from the USB device linked to the host's file-copy records. File hashes, user/approval records, DLP alerts and network logs would help validate the scope and consequences of the activity.</w:t>
      </w:r>
    </w:p>
    <w:p w14:paraId="7C1C09DF">
      <w:pPr>
        <w:pStyle w:val="2"/>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8. Conclusion</w:t>
      </w:r>
    </w:p>
    <w:p w14:paraId="24DCF6C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Power BI brings the event sequence and its approval/feed context into a single investigative view. The evidence supports prioritizing H06 and USB-9921 for follow-up because a large write involving restricted research data is not covered by the reviewed allowlist scope. The conclusion remains suspected unauthorized copying; onward disclosure and user intent are unconfirmed.</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A0D0F">
    <w:pPr>
      <w:pStyle w:val="18"/>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5240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2"/>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742</Words>
  <Characters>4336</Characters>
  <Lines>0</Lines>
  <Paragraphs>0</Paragraphs>
  <TotalTime>5</TotalTime>
  <ScaleCrop>false</ScaleCrop>
  <LinksUpToDate>false</LinksUpToDate>
  <CharactersWithSpaces>5042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Milan Chauhan</cp:lastModifiedBy>
  <dcterms:modified xsi:type="dcterms:W3CDTF">2026-10-11T08:41:09Z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eyJoZGlkIjoiYjJjOTQxYzhjODMyMDAzZmE0MDJkMWFkNmJlNDkwYTUiLCJ1c2VySWQiOiI1Njc0MDI0NzgzNjYifQ==</vt:lpwstr>
  </property>
  <property fmtid="{D5CDD505-2E9C-101B-9397-08002B2CF9AE}" pid="3" name="KSOProductBuildVer">
    <vt:lpwstr>1033-12.1.0.29162</vt:lpwstr>
  </property>
  <property fmtid="{D5CDD505-2E9C-101B-9397-08002B2CF9AE}" pid="4" name="ICV">
    <vt:lpwstr>45FD0BA160F848C799DBE2FAED9E992E_12</vt:lpwstr>
  </property>
</Properties>
</file>