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9CA2" w14:textId="132FC2E9" w:rsidR="00DD4313" w:rsidRPr="0087271E" w:rsidRDefault="00DD4313" w:rsidP="008727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5205610"/>
      <w:r w:rsidRPr="0087271E">
        <w:rPr>
          <w:rFonts w:ascii="Times New Roman" w:hAnsi="Times New Roman" w:cs="Times New Roman"/>
          <w:b/>
          <w:bCs/>
          <w:sz w:val="24"/>
          <w:szCs w:val="24"/>
        </w:rPr>
        <w:t xml:space="preserve">PENGARUH PERPUTARAN PIUTANG, PERPUTARAN PERSEDIAAN DAN PERPUTARAN KAS TERHADAP RETURN ON ASSETS PT. ASTRA INTERNATIONAL </w:t>
      </w:r>
      <w:proofErr w:type="spellStart"/>
      <w:r w:rsidRPr="0087271E">
        <w:rPr>
          <w:rFonts w:ascii="Times New Roman" w:hAnsi="Times New Roman" w:cs="Times New Roman"/>
          <w:b/>
          <w:bCs/>
          <w:sz w:val="24"/>
          <w:szCs w:val="24"/>
        </w:rPr>
        <w:t>Tbk</w:t>
      </w:r>
      <w:proofErr w:type="spellEnd"/>
      <w:r w:rsidRPr="0087271E">
        <w:rPr>
          <w:rFonts w:ascii="Times New Roman" w:hAnsi="Times New Roman" w:cs="Times New Roman"/>
          <w:b/>
          <w:bCs/>
          <w:sz w:val="24"/>
          <w:szCs w:val="24"/>
        </w:rPr>
        <w:t xml:space="preserve"> PERIODE 2010</w:t>
      </w:r>
      <w:r w:rsidR="00FB205A" w:rsidRPr="008727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271E">
        <w:rPr>
          <w:rFonts w:ascii="Times New Roman" w:hAnsi="Times New Roman" w:cs="Times New Roman"/>
          <w:b/>
          <w:bCs/>
          <w:sz w:val="24"/>
          <w:szCs w:val="24"/>
        </w:rPr>
        <w:t>- 2021</w:t>
      </w:r>
    </w:p>
    <w:p w14:paraId="2E9AD9CE" w14:textId="77777777" w:rsidR="00DD4313" w:rsidRPr="0087271E" w:rsidRDefault="00DD4313" w:rsidP="0087271E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1E">
        <w:rPr>
          <w:rFonts w:ascii="Times New Roman" w:hAnsi="Times New Roman" w:cs="Times New Roman"/>
          <w:b/>
          <w:sz w:val="24"/>
          <w:szCs w:val="24"/>
        </w:rPr>
        <w:t>USULAN PENELITIAN</w:t>
      </w:r>
    </w:p>
    <w:p w14:paraId="05A27D58" w14:textId="77777777" w:rsidR="00DD4313" w:rsidRPr="0087271E" w:rsidRDefault="00DD4313" w:rsidP="0087271E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Salah Satu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Syarat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Ujian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Seminar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Usulan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Progam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Strata Satu (S1)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Jurusan</w:t>
      </w:r>
      <w:proofErr w:type="spellEnd"/>
      <w:r w:rsidRPr="008727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bCs/>
          <w:sz w:val="24"/>
          <w:szCs w:val="24"/>
        </w:rPr>
        <w:t>Akuntansi</w:t>
      </w:r>
      <w:proofErr w:type="spellEnd"/>
    </w:p>
    <w:p w14:paraId="45AF53B6" w14:textId="77777777" w:rsidR="00DD4313" w:rsidRPr="0087271E" w:rsidRDefault="00DD4313" w:rsidP="0087271E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22B568A" w14:textId="77777777" w:rsidR="00DD4313" w:rsidRPr="0087271E" w:rsidRDefault="00DD4313" w:rsidP="0087271E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271E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87271E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03A3DBC8" w14:textId="77777777" w:rsidR="00DD4313" w:rsidRPr="0087271E" w:rsidRDefault="00DD4313" w:rsidP="0087271E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1E">
        <w:rPr>
          <w:rFonts w:ascii="Times New Roman" w:hAnsi="Times New Roman" w:cs="Times New Roman"/>
          <w:b/>
          <w:sz w:val="24"/>
          <w:szCs w:val="24"/>
        </w:rPr>
        <w:t xml:space="preserve">Mila </w:t>
      </w:r>
      <w:proofErr w:type="spellStart"/>
      <w:r w:rsidRPr="0087271E">
        <w:rPr>
          <w:rFonts w:ascii="Times New Roman" w:hAnsi="Times New Roman" w:cs="Times New Roman"/>
          <w:b/>
          <w:sz w:val="24"/>
          <w:szCs w:val="24"/>
        </w:rPr>
        <w:t>Nafsah</w:t>
      </w:r>
      <w:proofErr w:type="spellEnd"/>
      <w:r w:rsidRPr="008727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b/>
          <w:sz w:val="24"/>
          <w:szCs w:val="24"/>
        </w:rPr>
        <w:t>Dzahira</w:t>
      </w:r>
      <w:proofErr w:type="spellEnd"/>
    </w:p>
    <w:p w14:paraId="40332DA5" w14:textId="77777777" w:rsidR="00DD4313" w:rsidRPr="0087271E" w:rsidRDefault="00DD4313" w:rsidP="0087271E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DD3CAE" wp14:editId="3E6D9828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1849821" cy="1702183"/>
            <wp:effectExtent l="0" t="0" r="0" b="0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21" cy="170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71E">
        <w:rPr>
          <w:rFonts w:ascii="Times New Roman" w:hAnsi="Times New Roman" w:cs="Times New Roman"/>
          <w:b/>
          <w:sz w:val="24"/>
          <w:szCs w:val="24"/>
        </w:rPr>
        <w:t>01021911028</w:t>
      </w:r>
    </w:p>
    <w:p w14:paraId="066AF04E" w14:textId="77777777" w:rsidR="00DD4313" w:rsidRPr="0087271E" w:rsidRDefault="00DD4313" w:rsidP="008727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1A040" w14:textId="77777777" w:rsidR="00DD4313" w:rsidRPr="0087271E" w:rsidRDefault="00DD4313" w:rsidP="0087271E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0BD8EC5" w14:textId="77777777" w:rsidR="00DD4313" w:rsidRPr="0087271E" w:rsidRDefault="00DD4313" w:rsidP="0087271E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31AD50A" w14:textId="77777777" w:rsidR="00DD4313" w:rsidRPr="0087271E" w:rsidRDefault="00DD4313" w:rsidP="0087271E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BA052" w14:textId="77777777" w:rsidR="00DD4313" w:rsidRPr="0087271E" w:rsidRDefault="00DD4313" w:rsidP="008727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252C3" w14:textId="77777777" w:rsidR="00DD4313" w:rsidRPr="0087271E" w:rsidRDefault="00DD4313" w:rsidP="0087271E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1E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14:paraId="295DEF0A" w14:textId="77777777" w:rsidR="00DD4313" w:rsidRPr="0087271E" w:rsidRDefault="00DD4313" w:rsidP="0087271E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1E">
        <w:rPr>
          <w:rFonts w:ascii="Times New Roman" w:hAnsi="Times New Roman" w:cs="Times New Roman"/>
          <w:b/>
          <w:sz w:val="24"/>
          <w:szCs w:val="24"/>
        </w:rPr>
        <w:t>UNIVERSITAS NASIONAL PASIM</w:t>
      </w:r>
    </w:p>
    <w:p w14:paraId="13A81133" w14:textId="77777777" w:rsidR="00DD4313" w:rsidRPr="0087271E" w:rsidRDefault="00DD4313" w:rsidP="0087271E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1E"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31A89EB4" w14:textId="1F54224E" w:rsidR="00DD4313" w:rsidRPr="0087271E" w:rsidRDefault="00DD4313" w:rsidP="0087271E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1E">
        <w:rPr>
          <w:rFonts w:ascii="Times New Roman" w:hAnsi="Times New Roman" w:cs="Times New Roman"/>
          <w:b/>
          <w:sz w:val="24"/>
          <w:szCs w:val="24"/>
        </w:rPr>
        <w:t>2023</w:t>
      </w:r>
    </w:p>
    <w:p w14:paraId="6D430991" w14:textId="77777777" w:rsidR="00DD4313" w:rsidRPr="0087271E" w:rsidRDefault="00DD4313" w:rsidP="0087271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BAB 1</w:t>
      </w:r>
    </w:p>
    <w:p w14:paraId="3FD2E26E" w14:textId="77777777" w:rsidR="00DD4313" w:rsidRPr="0087271E" w:rsidRDefault="00DD4313" w:rsidP="0087271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PENDAHULUAN</w:t>
      </w:r>
    </w:p>
    <w:p w14:paraId="18457F63" w14:textId="77777777" w:rsidR="00DD4313" w:rsidRPr="0087271E" w:rsidRDefault="00DD4313" w:rsidP="0087271E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34C23F" w14:textId="5042D96F" w:rsidR="00DD4313" w:rsidRPr="0087271E" w:rsidRDefault="00DD4313" w:rsidP="0087271E">
      <w:pPr>
        <w:pStyle w:val="Heading2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2C0CB717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sebesar-besarnya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era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globalisasi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ditandai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munculnya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kreatif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bersaing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bisnisnya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Yulianti, 2019).</w:t>
      </w:r>
      <w:r w:rsidRPr="008727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D8BCC7" w14:textId="13252C58" w:rsidR="00DD4313" w:rsidRPr="0087271E" w:rsidRDefault="00B22C8A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(Andriani &amp;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Supriono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2022)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laba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laba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 (Return </w:t>
      </w:r>
      <w:proofErr w:type="gram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Assets)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laba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laba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bersih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aset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CF0CD0" w14:textId="633F4848" w:rsidR="00DD4313" w:rsidRPr="0087271E" w:rsidRDefault="00B22C8A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(Putra, 2022) Salah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rendahnya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modal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Modal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diartikan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investasi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ditanamkan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aktiva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Hlk128689173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kas,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bookmarkEnd w:id="1"/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Modal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sz w:val="24"/>
          <w:szCs w:val="24"/>
        </w:rPr>
        <w:lastRenderedPageBreak/>
        <w:t>manajer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merencanakan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besarnya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modal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modal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yang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terpakai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memperkecil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modal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D4313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(Yulianti, 2019).</w:t>
      </w:r>
    </w:p>
    <w:p w14:paraId="312B5E68" w14:textId="66DFF5BD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</w:t>
      </w:r>
      <w:r w:rsidR="00CD633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Muslich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Lestari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2017 :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Nurafika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2018)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jasa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kredit</w:t>
      </w:r>
      <w:proofErr w:type="spellEnd"/>
      <w:r w:rsidR="00715AB9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memperbesar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tertanam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kredit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diakui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</w:t>
      </w:r>
      <w:r w:rsidR="00715AB9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AB9" w:rsidRPr="008727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5AB9" w:rsidRPr="0087271E">
        <w:rPr>
          <w:rFonts w:ascii="Times New Roman" w:hAnsi="Times New Roman" w:cs="Times New Roman"/>
          <w:sz w:val="24"/>
          <w:szCs w:val="24"/>
        </w:rPr>
        <w:t>tertagih</w:t>
      </w:r>
      <w:proofErr w:type="spellEnd"/>
      <w:r w:rsidR="00715AB9" w:rsidRPr="0087271E">
        <w:rPr>
          <w:rFonts w:ascii="Times New Roman" w:hAnsi="Times New Roman" w:cs="Times New Roman"/>
          <w:sz w:val="24"/>
          <w:szCs w:val="24"/>
        </w:rPr>
        <w:t>.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Islamiah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Yudiantoro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, 2022).</w:t>
      </w:r>
    </w:p>
    <w:p w14:paraId="67D18343" w14:textId="771E061E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</w:t>
      </w:r>
      <w:r w:rsidR="00E43F90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F90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aktiva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unsur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dijual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konsumen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(Surya et al., 2017). 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(Fahmi, 2015)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terlaksana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(in</w:t>
      </w:r>
      <w:r w:rsidRPr="008727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ventory management).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barang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setengah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berfluktuasi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A5861E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gudang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terjual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dana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ditanam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berputar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diartikan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dijual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(Andriani &amp;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Supriono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, 2022).</w:t>
      </w:r>
    </w:p>
    <w:p w14:paraId="48171280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dipergunakan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menunjukan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perolehan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Return on Assets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(ROA).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rata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juga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uang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berputar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(Putra, 2022). </w:t>
      </w:r>
    </w:p>
    <w:p w14:paraId="382D9E07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Nurafika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2018)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Return on Assets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(ROA). Dari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simultan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Return on Assets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(ROA). Selain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didukung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para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terdahulu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diantaranya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((Sari et al., 2020), (Andriani &amp;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Supriono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, 2022), dan (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Simatupang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2021)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parsial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Return on Assets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(ROA).</w:t>
      </w:r>
    </w:p>
    <w:p w14:paraId="73EEB80A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terdahulu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mengamati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Return on Assets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(ROA) pada PT. Astra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Interna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ditunjukan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CD0649" w14:textId="40EA90B1" w:rsidR="00DD4313" w:rsidRPr="0087271E" w:rsidRDefault="0087271E" w:rsidP="0087271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1. 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Perputaran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Piutang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ROA</w:t>
      </w:r>
    </w:p>
    <w:tbl>
      <w:tblPr>
        <w:tblW w:w="8718" w:type="dxa"/>
        <w:tblLook w:val="04A0" w:firstRow="1" w:lastRow="0" w:firstColumn="1" w:lastColumn="0" w:noHBand="0" w:noVBand="1"/>
      </w:tblPr>
      <w:tblGrid>
        <w:gridCol w:w="562"/>
        <w:gridCol w:w="1358"/>
        <w:gridCol w:w="2062"/>
        <w:gridCol w:w="1380"/>
        <w:gridCol w:w="960"/>
        <w:gridCol w:w="1056"/>
        <w:gridCol w:w="1340"/>
      </w:tblGrid>
      <w:tr w:rsidR="00C97CC7" w:rsidRPr="0087271E" w14:paraId="15E0E3DE" w14:textId="77777777" w:rsidTr="00C97CC7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EFC3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D7F8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Tahun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0D8C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Perputaran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Piutang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A67F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Fluktuasi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52E4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ROA 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DF4D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fluktuasi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6B15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fenomena</w:t>
            </w:r>
            <w:proofErr w:type="spellEnd"/>
          </w:p>
        </w:tc>
      </w:tr>
      <w:tr w:rsidR="00C97CC7" w:rsidRPr="0087271E" w14:paraId="32371BD4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77A8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277E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0736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15.32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4E99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3554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12.73%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97A8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CE17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97CC7" w:rsidRPr="0087271E" w14:paraId="621B290D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54D5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276D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5557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13.59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D528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1E3F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11.58%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3201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FF0C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7304BE3A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D2AE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39D2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1A9C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12.14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AD0A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0E5C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10.65%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9BF7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2394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4F00AF12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B2A1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9232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5B7D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10.69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7D49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402C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9.07%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ABFA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876A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61A638AE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1CE7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6C22D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26A4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9.80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49CD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30B7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8.13%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9E0B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E35E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3C1B0EE0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5982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BA079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3068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9.35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AF5F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7BB8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5.89%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2221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0F1F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22AFA35D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6F74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EAB4D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940C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9.78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5991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D4E8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5.79%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C230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99A8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</w:p>
        </w:tc>
      </w:tr>
      <w:tr w:rsidR="00C97CC7" w:rsidRPr="0087271E" w14:paraId="71813BBE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FED3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ECEE6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3D1F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9.30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B9F0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E056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6.39%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2D44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645D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</w:p>
        </w:tc>
      </w:tr>
      <w:tr w:rsidR="00C97CC7" w:rsidRPr="0087271E" w14:paraId="2FBE40C7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0D0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6378C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C13E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8.46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10A9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F285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6.29%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AAF6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869E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0BF18344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E2EB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15ED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2D05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7.83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DF7A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09CF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6.17%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36C6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050D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0BE7B2D8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7C61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6350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D83D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7.55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96BD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D728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4.78%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F52C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Turun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5214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  <w:tr w:rsidR="00C97CC7" w:rsidRPr="0087271E" w14:paraId="1C936514" w14:textId="77777777" w:rsidTr="00C97CC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C4C9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553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96FB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12.02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EF40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62D0" w14:textId="77777777" w:rsidR="00C97CC7" w:rsidRPr="0087271E" w:rsidRDefault="00C97CC7" w:rsidP="0087271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5.50%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8315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74F9" w14:textId="77777777" w:rsidR="00C97CC7" w:rsidRPr="0087271E" w:rsidRDefault="00C97CC7" w:rsidP="0087271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Tidak Ada</w:t>
            </w:r>
          </w:p>
        </w:tc>
      </w:tr>
    </w:tbl>
    <w:p w14:paraId="108C95E7" w14:textId="77777777" w:rsidR="00C97CC7" w:rsidRPr="0087271E" w:rsidRDefault="00C97CC7" w:rsidP="008727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37E90" w14:textId="77777777" w:rsidR="00DD4313" w:rsidRPr="0087271E" w:rsidRDefault="00DD4313" w:rsidP="0087271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PT Astra </w:t>
      </w:r>
      <w:proofErr w:type="gramStart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International 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Tbk</w:t>
      </w:r>
      <w:proofErr w:type="spellEnd"/>
      <w:proofErr w:type="gram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2010-2021 (data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Kembali)</w:t>
      </w:r>
    </w:p>
    <w:p w14:paraId="592FA2BB" w14:textId="67416F8B" w:rsidR="00DD4313" w:rsidRPr="0087271E" w:rsidRDefault="00DD4313" w:rsidP="0087271E">
      <w:pPr>
        <w:spacing w:line="480" w:lineRule="auto"/>
        <w:ind w:firstLine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1.1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ROA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beraturan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berfluktuatif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2015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9,35 kali dan ROA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5,89%. Pada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9,78 kali dan ROA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5,79%.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9,30 kali dan ROA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6,39%. Adapun pada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2018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7,55 kali dan ROA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4,78%.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dan ROA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 12,02 kali dan 5,50%.</w:t>
      </w:r>
    </w:p>
    <w:p w14:paraId="2DD5545B" w14:textId="77777777" w:rsidR="00DD4313" w:rsidRPr="0087271E" w:rsidRDefault="00DD4313" w:rsidP="0087271E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08F8A67" w14:textId="14A86E97" w:rsidR="00DD4313" w:rsidRPr="0087271E" w:rsidRDefault="0087271E" w:rsidP="0087271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Tabel 1. 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Perputaran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Persediaan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ROA</w:t>
      </w:r>
    </w:p>
    <w:tbl>
      <w:tblPr>
        <w:tblW w:w="854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36"/>
        <w:gridCol w:w="850"/>
        <w:gridCol w:w="2383"/>
        <w:gridCol w:w="1282"/>
        <w:gridCol w:w="995"/>
        <w:gridCol w:w="1134"/>
        <w:gridCol w:w="1361"/>
      </w:tblGrid>
      <w:tr w:rsidR="00DD4313" w:rsidRPr="0087271E" w14:paraId="25796EDC" w14:textId="77777777" w:rsidTr="007C52E1">
        <w:trPr>
          <w:trHeight w:val="330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D569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F3858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1540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Perputaran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Persediaan</w:t>
            </w:r>
            <w:proofErr w:type="spellEnd"/>
          </w:p>
        </w:tc>
        <w:tc>
          <w:tcPr>
            <w:tcW w:w="1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12BA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Fluktuasi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50F8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1375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Fluktuasi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4A5C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fenomena</w:t>
            </w:r>
            <w:proofErr w:type="spellEnd"/>
          </w:p>
        </w:tc>
      </w:tr>
      <w:tr w:rsidR="00DD4313" w:rsidRPr="0087271E" w14:paraId="782024C6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9EA93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D8A4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E989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0A7A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DD9B5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D76B4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FBB4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D4313" w:rsidRPr="0087271E" w14:paraId="6F7DAE57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FB08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4C50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6582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1CBF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B2BE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0475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C8E5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</w:p>
        </w:tc>
      </w:tr>
      <w:tr w:rsidR="00DD4313" w:rsidRPr="0087271E" w14:paraId="30398D57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640C8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0183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ECD9F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3456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3B5F3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1453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8E15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32C1F5AD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0081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72364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88A2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F7A2A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8916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EEBF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0455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270C5011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AAF1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1CA708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099E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DDF8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5345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659A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955C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3316A194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686C6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71459A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1380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E8FB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C94B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2B2A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DBAD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42779945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176D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7817C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4FDB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5455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1225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F75B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3CEF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2A501B87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FC71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C624E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1D64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667E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CBEB3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AA97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Naik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32A7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6474F1DB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CC1D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E6217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F88F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602F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C56A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63DB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A233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3181DCB3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F3D5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912A3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0C6FB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7B2F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9EA5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F534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D9F46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22B0499D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C8B3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625D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7311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2A30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7550C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8F18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7B9D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DD4313" w:rsidRPr="0087271E" w14:paraId="089FA02A" w14:textId="77777777" w:rsidTr="007C52E1">
        <w:trPr>
          <w:trHeight w:val="315"/>
        </w:trPr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4D8D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F6A8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770C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E35B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EB85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73CBA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Naik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8E03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Tidak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</w:tbl>
    <w:p w14:paraId="6ED02579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Astra </w:t>
      </w:r>
      <w:proofErr w:type="gramStart"/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2010-2021 (data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diolah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Kembali, 2023)</w:t>
      </w:r>
    </w:p>
    <w:p w14:paraId="423A9854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1.2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beraturan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berfluktuatif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2011,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2011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11,43 kali dan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11,58%. di 4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8,01 kali dan 5,79%.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8,78 kali dan 6,39%.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6,47 kali dan 4,78%.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9,18 kali dan 5,50%</w:t>
      </w:r>
    </w:p>
    <w:p w14:paraId="6608E785" w14:textId="14D162A3" w:rsidR="00DD4313" w:rsidRPr="0087271E" w:rsidRDefault="0087271E" w:rsidP="0087271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1. 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Perputaran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Kas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ROA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566"/>
        <w:gridCol w:w="901"/>
        <w:gridCol w:w="1871"/>
        <w:gridCol w:w="1229"/>
        <w:gridCol w:w="1059"/>
        <w:gridCol w:w="1229"/>
        <w:gridCol w:w="1406"/>
      </w:tblGrid>
      <w:tr w:rsidR="00DD4313" w:rsidRPr="0087271E" w14:paraId="60888F13" w14:textId="77777777" w:rsidTr="00B22C8A">
        <w:trPr>
          <w:trHeight w:val="330"/>
        </w:trPr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6C16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54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5FEA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1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6568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Perputaran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</w:p>
        </w:tc>
        <w:tc>
          <w:tcPr>
            <w:tcW w:w="7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0181E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Fluktuasi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1827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</w:p>
        </w:tc>
        <w:tc>
          <w:tcPr>
            <w:tcW w:w="7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6D94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Fluktuasi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9A48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fenomena</w:t>
            </w:r>
            <w:proofErr w:type="spellEnd"/>
          </w:p>
        </w:tc>
      </w:tr>
      <w:tr w:rsidR="00DD4313" w:rsidRPr="0087271E" w14:paraId="72E29CEC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5BE2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BD518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EDCD6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16.523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E0A6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2531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12.73%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B2168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D4A28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D4313" w:rsidRPr="0087271E" w14:paraId="24C75EB0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AF30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9758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DD7B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16.051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9590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846D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11.58%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1966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836BB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138A9A79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8434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AD81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17CA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15.624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88584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6C0D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10.65%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FDDA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8283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1746D756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54D00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E502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14A77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13.203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68E01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988D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9.07%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308E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86DB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1B5AEE16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FB26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B905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DA75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10.269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A460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D004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8.13%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1D66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A0E8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44035996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C949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C389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408B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7.707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F4B1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0B6C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5.89%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1C39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87D8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67ADBD98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0B14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DA5D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01A0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6.418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327D4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CD1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5.79%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742A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5822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6C49F9A5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F645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9E5BA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F54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6.764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45D1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Naik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3187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6.39%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E450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Naik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BE9E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08B26905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B12E5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0C104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9B0F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8.465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6A69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Naik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26EF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6.29%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7A75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C6604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Ada </w:t>
            </w:r>
          </w:p>
        </w:tc>
      </w:tr>
      <w:tr w:rsidR="00DD4313" w:rsidRPr="0087271E" w14:paraId="127259E1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395D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476B2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7D85E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9.628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4765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Naik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E0DC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6.17%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266AD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29D237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Ada </w:t>
            </w:r>
          </w:p>
        </w:tc>
      </w:tr>
      <w:tr w:rsidR="00DD4313" w:rsidRPr="0087271E" w14:paraId="640E52EC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ED4AB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18C5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1FF3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4.871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87C08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7B0856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4.78%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BA562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467C9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Tidak Ada </w:t>
            </w:r>
          </w:p>
        </w:tc>
      </w:tr>
      <w:tr w:rsidR="00DD4313" w:rsidRPr="0087271E" w14:paraId="66140236" w14:textId="77777777" w:rsidTr="00B22C8A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01DD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4E551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E4113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4.188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33810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Turun</w:t>
            </w:r>
            <w:proofErr w:type="spellEnd"/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AA68F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5.50%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4B99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Naik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B13A3C" w14:textId="77777777" w:rsidR="00DD4313" w:rsidRPr="0087271E" w:rsidRDefault="00DD4313" w:rsidP="008727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Ada </w:t>
            </w:r>
          </w:p>
        </w:tc>
      </w:tr>
    </w:tbl>
    <w:p w14:paraId="28A5B98B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Astra </w:t>
      </w:r>
      <w:proofErr w:type="gramStart"/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2010-2021 (data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diolah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Kembali, 2023)</w:t>
      </w:r>
    </w:p>
    <w:p w14:paraId="78CBE0DC" w14:textId="4AEF7022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1.3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beraturan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berfluktuatif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2011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dan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6,41 kali dan 5,79 %.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9,62 kali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6,39%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6,17%.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2020 - 2021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4,18 kali, dan ROA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turun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4,78%,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5,50%.</w:t>
      </w:r>
    </w:p>
    <w:p w14:paraId="5EADAE67" w14:textId="073EF548" w:rsidR="0040141D" w:rsidRPr="0087271E" w:rsidRDefault="0040141D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704A1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4A1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 w:rsidR="00704A1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r w:rsidR="00704A1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 w:fldLock="1"/>
      </w:r>
      <w:r w:rsidR="00704A1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instrText>ADDIN CSL_CITATION {"citationItems":[{"id":"ITEM-1","itemData":{"URL":"https://www-kompas-tv.cdn.ampproject.org/v/s/www.kompas.tv/amp/article/118928/videos/pandemi-laba-astra-international-anjlok-49-persen?amp_gsa=1&amp;amp_js_v=a9&amp;usqp=mq331AQKKAFQArABIIACAw%3D%3D#amp_tf=Dari %251%24s&amp;aoh=16777217051612&amp;referrer=https%3A%2F%2Fwww.google.com&amp;ampshare=https%3A%2F%2Fwww.kompas.tv%2Farticle%2F118928%2Fpandemi-laba-astra-international-anjlok-49-persen","author":[{"dropping-particle":"","family":"Megasari","given":"Dyah","non-dropping-particle":"","parse-names":false,"suffix":""}],"container-title":"Kompas Tv","id":"ITEM-1","issued":{"date-parts":[["2020"]]},"title":"Pandemi, Laba Astra International Anjlok 49 Persen","type":"webpage"},"uris":["http://www.mendeley.com/documents/?uuid=cd4015a3-72d1-4787-b6c0-ade17be48c4b"]}],"mendeley":{"formattedCitation":"(Megasari, 2020)","plainTextFormattedCitation":"(Megasari, 2020)"},"properties":{"noteIndex":0},"schema":"https://github.com/citation-style-language/schema/raw/master/csl-citation.json"}</w:instrText>
      </w:r>
      <w:r w:rsidR="00704A1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="00704A1D" w:rsidRPr="0087271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(Megasari, 2020)</w:t>
      </w:r>
      <w:r w:rsidR="00704A1D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="00EA6155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dikutip</w:t>
      </w:r>
      <w:proofErr w:type="spellEnd"/>
      <w:r w:rsidR="00EA6155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</w:t>
      </w:r>
      <w:r w:rsidR="00070951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Kompas TV</w:t>
      </w:r>
      <w:r w:rsidR="00EA6155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Astra International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Covid-19</w:t>
      </w:r>
      <w:r w:rsidR="00EA6155" w:rsidRPr="0087271E">
        <w:rPr>
          <w:rFonts w:ascii="Times New Roman" w:hAnsi="Times New Roman" w:cs="Times New Roman"/>
          <w:sz w:val="24"/>
          <w:szCs w:val="24"/>
        </w:rPr>
        <w:t>.</w:t>
      </w:r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r w:rsidR="00EA6155" w:rsidRPr="0087271E">
        <w:rPr>
          <w:rFonts w:ascii="Times New Roman" w:hAnsi="Times New Roman" w:cs="Times New Roman"/>
          <w:sz w:val="24"/>
          <w:szCs w:val="24"/>
        </w:rPr>
        <w:t>M</w:t>
      </w:r>
      <w:r w:rsidRPr="0087271E">
        <w:rPr>
          <w:rFonts w:ascii="Times New Roman" w:hAnsi="Times New Roman" w:cs="Times New Roman"/>
          <w:sz w:val="24"/>
          <w:szCs w:val="24"/>
        </w:rPr>
        <w:t xml:space="preserve">ulai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anjlok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8,2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rupiah.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Astra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lesu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Januari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anjlok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51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rontok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Astra International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>.</w:t>
      </w:r>
    </w:p>
    <w:p w14:paraId="49A6616E" w14:textId="6C95C0A8" w:rsidR="0040141D" w:rsidRPr="0087271E" w:rsidRDefault="0040141D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71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r w:rsidR="00524838" w:rsidRPr="0087271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24838" w:rsidRPr="008727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524838" w:rsidRPr="0087271E">
        <w:rPr>
          <w:rFonts w:ascii="Times New Roman" w:hAnsi="Times New Roman" w:cs="Times New Roman"/>
          <w:sz w:val="24"/>
          <w:szCs w:val="24"/>
        </w:rPr>
        <w:t xml:space="preserve"> oleh </w:t>
      </w:r>
      <w:r w:rsidR="00524838" w:rsidRPr="0087271E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70951" w:rsidRPr="0087271E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{"citationItems":[{"id":"ITEM-1","itemData":{"URL":"https://www.jawapos.com/ekonomi/26/02/2021/terdampak-covid-19-laba-astra-internasional-turun-hingga-53-persen/","author":[{"dropping-particle":"","family":"Asikin","given":"Mochammad Nur","non-dropping-particle":"","parse-names":false,"suffix":""}],"container-title":"jawaPos.com","id":"ITEM-1","issued":{"date-parts":[["2021"]]},"title":"TERDAMPAK COVID 19, LABA ASTRA INTERNASIONAL TURUN HINGGA 53 PERSEN","type":"webpage"},"uris":["http://www.mendeley.com/documents/?uuid=48cba8e2-1c6a-4ea3-b73f-5eed24694022"]}],"mendeley":{"formattedCitation":"(Asikin, 2021)","plainTextFormattedCitation":"(Asikin, 2021)","previouslyFormattedCitation":"(Asikin, 2021)"},"properties":{"noteIndex":0},"schema":"https://github.com/citation-style-language/schema/raw/master/csl-citation.json"}</w:instrText>
      </w:r>
      <w:r w:rsidR="00524838" w:rsidRPr="0087271E">
        <w:rPr>
          <w:rFonts w:ascii="Times New Roman" w:hAnsi="Times New Roman" w:cs="Times New Roman"/>
          <w:sz w:val="24"/>
          <w:szCs w:val="24"/>
        </w:rPr>
        <w:fldChar w:fldCharType="separate"/>
      </w:r>
      <w:r w:rsidR="00524838" w:rsidRPr="0087271E">
        <w:rPr>
          <w:rFonts w:ascii="Times New Roman" w:hAnsi="Times New Roman" w:cs="Times New Roman"/>
          <w:noProof/>
          <w:sz w:val="24"/>
          <w:szCs w:val="24"/>
        </w:rPr>
        <w:t>(Asikin, 2021)</w:t>
      </w:r>
      <w:r w:rsidR="00524838" w:rsidRPr="0087271E">
        <w:rPr>
          <w:rFonts w:ascii="Times New Roman" w:hAnsi="Times New Roman" w:cs="Times New Roman"/>
          <w:sz w:val="24"/>
          <w:szCs w:val="24"/>
        </w:rPr>
        <w:fldChar w:fldCharType="end"/>
      </w:r>
      <w:r w:rsidR="00524838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838" w:rsidRPr="00872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4838" w:rsidRPr="0087271E">
        <w:rPr>
          <w:rFonts w:ascii="Times New Roman" w:hAnsi="Times New Roman" w:cs="Times New Roman"/>
          <w:sz w:val="24"/>
          <w:szCs w:val="24"/>
        </w:rPr>
        <w:t xml:space="preserve"> </w:t>
      </w:r>
      <w:r w:rsidR="00EA6155" w:rsidRPr="0087271E">
        <w:rPr>
          <w:rFonts w:ascii="Times New Roman" w:hAnsi="Times New Roman" w:cs="Times New Roman"/>
          <w:sz w:val="24"/>
          <w:szCs w:val="24"/>
        </w:rPr>
        <w:t xml:space="preserve">media jawapos.com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2021 PT Astra International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2020. Laba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21,70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10,28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Astra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Djony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Bunarto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Tjondro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imbas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menggerus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konsolidasian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2020 juga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237,16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di 2019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175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Astra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loyo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Astra yang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lastRenderedPageBreak/>
        <w:t>laba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85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292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45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marjin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pada PT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Serasi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Autoraya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(SERA).</w:t>
      </w:r>
    </w:p>
    <w:p w14:paraId="2F3CD1B4" w14:textId="7744A489" w:rsidR="0040141D" w:rsidRPr="0087271E" w:rsidRDefault="00524838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r w:rsidRPr="0087271E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87271E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-beritasatu-com.cdn.ampproject.org/v/s/www.beritasatu.com/ekonomi/763785/hampir-semua-divisi-turun-laba-astra-international-terkontraksi-22/amp?amp_gsa=1&amp;amp_js_v=a9&amp;usqp=mq331AQKKAFQArABIIACAw%3D%3D#amp_tf=Dari %251%24s&amp;aoh=16777217051612&amp;referrer=https%3A%2F%2Fwww.google.com&amp;ampshare=https%3A%2F%2Fwww.beritasatu.com%2Fekonomi%2F763785%2Fhampir-semua-divisi-turun-laba-astra-international-terkontraksi-22","author":[{"dropping-particle":"","family":"Faisal Maliki Baskoro / FMB","given":"","non-dropping-particle":"","parse-names":false,"suffix":""}],"container-title":"BeritaSatu.com","id":"ITEM-1","issued":{"date-parts":[["2021"]]},"title":"Hampir Semua Divisi Turun, Laba Astra International Terkontraksi 22%","type":"webpage"},"uris":["http://www.mendeley.com/documents/?uuid=97d6208b-b7f2-4fb3-b9eb-e6482f946793"]}],"mendeley":{"formattedCitation":"(Faisal Maliki Baskoro / FMB, 2021)","plainTextFormattedCitation":"(Faisal Maliki Baskoro / FMB, 2021)","previouslyFormattedCitation":"(Faisal Maliki Baskoro / FMB, 2021)"},"properties":{"noteIndex":0},"schema":"https://github.com/citation-style-language/schema/raw/master/csl-citation.json"}</w:instrText>
      </w:r>
      <w:r w:rsidRPr="0087271E">
        <w:rPr>
          <w:rFonts w:ascii="Times New Roman" w:hAnsi="Times New Roman" w:cs="Times New Roman"/>
          <w:sz w:val="24"/>
          <w:szCs w:val="24"/>
        </w:rPr>
        <w:fldChar w:fldCharType="separate"/>
      </w:r>
      <w:r w:rsidRPr="0087271E">
        <w:rPr>
          <w:rFonts w:ascii="Times New Roman" w:hAnsi="Times New Roman" w:cs="Times New Roman"/>
          <w:noProof/>
          <w:sz w:val="24"/>
          <w:szCs w:val="24"/>
        </w:rPr>
        <w:t>(Faisal Maliki Baskoro / FMB, 2021)</w:t>
      </w:r>
      <w:r w:rsidRPr="0087271E">
        <w:rPr>
          <w:rFonts w:ascii="Times New Roman" w:hAnsi="Times New Roman" w:cs="Times New Roman"/>
          <w:sz w:val="24"/>
          <w:szCs w:val="24"/>
        </w:rPr>
        <w:fldChar w:fldCharType="end"/>
      </w:r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h</w:t>
      </w:r>
      <w:r w:rsidR="0040141D" w:rsidRPr="0087271E">
        <w:rPr>
          <w:rFonts w:ascii="Times New Roman" w:hAnsi="Times New Roman" w:cs="Times New Roman"/>
          <w:sz w:val="24"/>
          <w:szCs w:val="24"/>
        </w:rPr>
        <w:t>ampir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</w:t>
      </w:r>
      <w:r w:rsidR="0040141D" w:rsidRPr="0087271E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Astra International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terkontraksi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22%.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PT Astra International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(ASII) pada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triwulan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konsolidasian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Rp51,7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4%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. Laba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Rp3,7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22%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41D"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0141D" w:rsidRPr="0087271E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1A5A4AE0" w14:textId="0FD0D80C" w:rsidR="0040141D" w:rsidRPr="0087271E" w:rsidRDefault="0040141D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r w:rsidR="00070951" w:rsidRPr="0087271E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04A1D" w:rsidRPr="0087271E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amp-kompas-com.cdn.ampproject.org/v/s/amp.kompas.com/money/read/2023/02/28/105023726/astra-international-cetak-rekor-bukukan-laba-bersih-rp-2894-triliun-pada-2022?amp_gsa=1&amp;amp_js_v=a9&amp;usqp=mq331AQKKAFQArABIIACAw%3D%3D#amp_tf=Dari %251%24s&amp;aoh=16777217051612&amp;referrer=https%3A%2F%2Fwww.google.com","author":[{"dropping-particle":"","family":"Rully R Ramli","given":"","non-dropping-particle":"","parse-names":false,"suffix":""}],"container-title":"kompas.com","id":"ITEM-1","issued":{"date-parts":[["2023"]]},"title":"Astra International Cetak Rekor, Bukukan Laba Bersih Rp 28,94 Triliun pada 2022","type":"webpage"},"uris":["http://www.mendeley.com/documents/?uuid=1d16527f-fffb-4582-b3e6-66721939f6f8"]}],"mendeley":{"formattedCitation":"(Rully R Ramli, 2023)","plainTextFormattedCitation":"(Rully R Ramli, 2023)","previouslyFormattedCitation":"(Rully R Ramli, 2023)"},"properties":{"noteIndex":0},"schema":"https://github.com/citation-style-language/schema/raw/master/csl-citation.json"}</w:instrText>
      </w:r>
      <w:r w:rsidR="00070951" w:rsidRPr="0087271E">
        <w:rPr>
          <w:rFonts w:ascii="Times New Roman" w:hAnsi="Times New Roman" w:cs="Times New Roman"/>
          <w:sz w:val="24"/>
          <w:szCs w:val="24"/>
        </w:rPr>
        <w:fldChar w:fldCharType="separate"/>
      </w:r>
      <w:r w:rsidR="00070951" w:rsidRPr="0087271E">
        <w:rPr>
          <w:rFonts w:ascii="Times New Roman" w:hAnsi="Times New Roman" w:cs="Times New Roman"/>
          <w:noProof/>
          <w:sz w:val="24"/>
          <w:szCs w:val="24"/>
        </w:rPr>
        <w:t>(Rully R Ramli, 2023)</w:t>
      </w:r>
      <w:r w:rsidR="00070951" w:rsidRPr="0087271E">
        <w:rPr>
          <w:rFonts w:ascii="Times New Roman" w:hAnsi="Times New Roman" w:cs="Times New Roman"/>
          <w:sz w:val="24"/>
          <w:szCs w:val="24"/>
        </w:rPr>
        <w:fldChar w:fldCharType="end"/>
      </w:r>
      <w:r w:rsidR="00070951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951" w:rsidRPr="0087271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070951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Kompas.com</w:t>
      </w:r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2022 PT Astra International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kenikan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r w:rsidR="00644423" w:rsidRPr="0087271E">
        <w:rPr>
          <w:rFonts w:ascii="Times New Roman" w:hAnsi="Times New Roman" w:cs="Times New Roman"/>
          <w:sz w:val="24"/>
          <w:szCs w:val="24"/>
        </w:rPr>
        <w:t>C</w:t>
      </w:r>
      <w:r w:rsidR="00EA6155" w:rsidRPr="0087271E">
        <w:rPr>
          <w:rFonts w:ascii="Times New Roman" w:hAnsi="Times New Roman" w:cs="Times New Roman"/>
          <w:sz w:val="24"/>
          <w:szCs w:val="24"/>
        </w:rPr>
        <w:t>ovid</w:t>
      </w:r>
      <w:r w:rsidR="00644423" w:rsidRPr="0087271E">
        <w:rPr>
          <w:rFonts w:ascii="Times New Roman" w:hAnsi="Times New Roman" w:cs="Times New Roman"/>
          <w:sz w:val="24"/>
          <w:szCs w:val="24"/>
        </w:rPr>
        <w:t xml:space="preserve"> - 19</w:t>
      </w:r>
      <w:r w:rsidR="00EA6155" w:rsidRPr="0087271E">
        <w:rPr>
          <w:rFonts w:ascii="Times New Roman" w:hAnsi="Times New Roman" w:cs="Times New Roman"/>
          <w:sz w:val="24"/>
          <w:szCs w:val="24"/>
        </w:rPr>
        <w:t xml:space="preserve">. </w:t>
      </w:r>
      <w:r w:rsidRPr="0087271E">
        <w:rPr>
          <w:rFonts w:ascii="Times New Roman" w:hAnsi="Times New Roman" w:cs="Times New Roman"/>
          <w:sz w:val="24"/>
          <w:szCs w:val="24"/>
        </w:rPr>
        <w:t xml:space="preserve">Laba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PT Astra International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Naik 43,3 %,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Antara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Indonesia (BEI),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meraup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senilai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28,94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2022. Atau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43,33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r w:rsidRPr="0087271E">
        <w:rPr>
          <w:rFonts w:ascii="Times New Roman" w:hAnsi="Times New Roman" w:cs="Times New Roman"/>
          <w:i/>
          <w:iCs/>
          <w:sz w:val="24"/>
          <w:szCs w:val="24"/>
        </w:rPr>
        <w:t>year on year (</w:t>
      </w:r>
      <w:proofErr w:type="spellStart"/>
      <w:r w:rsidRPr="0087271E">
        <w:rPr>
          <w:rFonts w:ascii="Times New Roman" w:hAnsi="Times New Roman" w:cs="Times New Roman"/>
          <w:i/>
          <w:iCs/>
          <w:sz w:val="24"/>
          <w:szCs w:val="24"/>
        </w:rPr>
        <w:t>yoy</w:t>
      </w:r>
      <w:proofErr w:type="spellEnd"/>
      <w:r w:rsidRPr="0087271E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Rp 20,19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pada 2021. </w:t>
      </w:r>
    </w:p>
    <w:p w14:paraId="6ADCC328" w14:textId="707CC825" w:rsidR="00EA6155" w:rsidRPr="0087271E" w:rsidRDefault="00070951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71E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87271E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amp-suara-com.cdn.ampproject.org/v/s/amp.suara.com/otomotif/2023/02/28/130504/laba-bersih-pt-astra-international-tbk-naik-433-persen-sektor-otomotif-berikan-kontribusi-terbesar?amp_gsa=1&amp;amp_js_v=a9&amp;usqp=mq331AQKKAFQArABIIACAw%3D%3D#amp_tf=Dari %251%24s&amp;aoh=16777217051612&amp;referrer=https%3A%2F%2Fwww.google.com&amp;ampshare=https%3A%2F%2Fwww.suara.com%2Fotomotif%2F2023%2F02%2F28%2F130504%2Flaba-bersih-pt-astra-international-tbk-naik-433-persen-sektor-otomotif-berikan-kontribusi-terbesar","author":[{"dropping-particle":"","family":"Manggalani","given":"RR Ukirsari","non-dropping-particle":"","parse-names":false,"suffix":""}],"container-title":"Suara.com","id":"ITEM-1","issued":{"date-parts":[["2023"]]},"title":"Laba Bersih PT Astra International Tbk Naik 43,3 Persen, Sektor Otomotif Berikan Kontribusi Terbesar","type":"webpage"},"uris":["http://www.mendeley.com/documents/?uuid=f363f005-ae07-44f7-82a6-3c764f616c2b"]}],"mendeley":{"formattedCitation":"(Manggalani, 2023)","plainTextFormattedCitation":"(Manggalani, 2023)","previouslyFormattedCitation":"(Manggalani, 2023)"},"properties":{"noteIndex":0},"schema":"https://github.com/citation-style-language/schema/raw/master/csl-citation.json"}</w:instrText>
      </w:r>
      <w:r w:rsidRPr="0087271E">
        <w:rPr>
          <w:rFonts w:ascii="Times New Roman" w:hAnsi="Times New Roman" w:cs="Times New Roman"/>
          <w:sz w:val="24"/>
          <w:szCs w:val="24"/>
        </w:rPr>
        <w:fldChar w:fldCharType="separate"/>
      </w:r>
      <w:r w:rsidRPr="0087271E">
        <w:rPr>
          <w:rFonts w:ascii="Times New Roman" w:hAnsi="Times New Roman" w:cs="Times New Roman"/>
          <w:noProof/>
          <w:sz w:val="24"/>
          <w:szCs w:val="24"/>
        </w:rPr>
        <w:t>(Manggalani, 2023)</w:t>
      </w:r>
      <w:r w:rsidRPr="0087271E">
        <w:rPr>
          <w:rFonts w:ascii="Times New Roman" w:hAnsi="Times New Roman" w:cs="Times New Roman"/>
          <w:sz w:val="24"/>
          <w:szCs w:val="24"/>
        </w:rPr>
        <w:fldChar w:fldCharType="end"/>
      </w:r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beritanya</w:t>
      </w:r>
      <w:proofErr w:type="spellEnd"/>
      <w:r w:rsidRPr="0087271E">
        <w:rPr>
          <w:rFonts w:ascii="Times New Roman" w:hAnsi="Times New Roman" w:cs="Times New Roman"/>
          <w:sz w:val="24"/>
          <w:szCs w:val="24"/>
        </w:rPr>
        <w:t xml:space="preserve"> pada media suara.com </w:t>
      </w:r>
      <w:proofErr w:type="spellStart"/>
      <w:r w:rsidRPr="0087271E">
        <w:rPr>
          <w:rFonts w:ascii="Times New Roman" w:hAnsi="Times New Roman" w:cs="Times New Roman"/>
          <w:sz w:val="24"/>
          <w:szCs w:val="24"/>
        </w:rPr>
        <w:t>l</w:t>
      </w:r>
      <w:r w:rsidR="00EA6155" w:rsidRPr="0087271E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ASII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Rp 715 pada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43,28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Rp </w:t>
      </w:r>
      <w:proofErr w:type="gramStart"/>
      <w:r w:rsidR="00EA6155" w:rsidRPr="0087271E">
        <w:rPr>
          <w:rFonts w:ascii="Times New Roman" w:hAnsi="Times New Roman" w:cs="Times New Roman"/>
          <w:sz w:val="24"/>
          <w:szCs w:val="24"/>
        </w:rPr>
        <w:t>499</w:t>
      </w:r>
      <w:r w:rsidR="009A06E9" w:rsidRPr="0087271E">
        <w:rPr>
          <w:rFonts w:ascii="Times New Roman" w:hAnsi="Times New Roman" w:cs="Times New Roman"/>
          <w:sz w:val="24"/>
          <w:szCs w:val="24"/>
        </w:rPr>
        <w:t xml:space="preserve"> </w:t>
      </w:r>
      <w:r w:rsidR="00EA6155" w:rsidRPr="0087271E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2021. Astra International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Rekor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Bukukan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Laba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Rp 28,94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pada 2022. PT Astra International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(ASII)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pada 2022. Ini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terefleksikan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lastRenderedPageBreak/>
        <w:t>perseroan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Melansir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, Astra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Rp 28,94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melonjak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43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155" w:rsidRPr="008727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A6155" w:rsidRPr="0087271E">
        <w:rPr>
          <w:rFonts w:ascii="Times New Roman" w:hAnsi="Times New Roman" w:cs="Times New Roman"/>
          <w:sz w:val="24"/>
          <w:szCs w:val="24"/>
        </w:rPr>
        <w:t>.</w:t>
      </w:r>
    </w:p>
    <w:p w14:paraId="407E502F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terdahulu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(Surya et al., 2017)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simultan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ROA.</w:t>
      </w:r>
    </w:p>
    <w:p w14:paraId="4E70FD9E" w14:textId="29B801F4" w:rsidR="00EA6155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tertarik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727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 PENGARUH</w:t>
      </w:r>
      <w:proofErr w:type="gramEnd"/>
      <w:r w:rsidRPr="008727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PERPUTARAN PIUTANG, PERPUTARAN PERSEDIAAN DAN PERPUTARAN KAS TERHADAP RETURN ON ASSETS PT. ASTRA </w:t>
      </w:r>
      <w:r w:rsidRPr="0087271E">
        <w:rPr>
          <w:rFonts w:ascii="Times New Roman" w:eastAsia="Times New Roman" w:hAnsi="Times New Roman" w:cs="Times New Roman"/>
          <w:b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PERIODE 2010</w:t>
      </w:r>
      <w:r w:rsidR="00FB205A" w:rsidRPr="008727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- 2021”</w:t>
      </w:r>
    </w:p>
    <w:p w14:paraId="75A243FC" w14:textId="2C00E146" w:rsidR="00DD4313" w:rsidRPr="0087271E" w:rsidRDefault="00DD4313" w:rsidP="0087271E">
      <w:pPr>
        <w:pStyle w:val="Heading2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6D170DC9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7DAC24" w14:textId="74B2D5FF" w:rsidR="00FB205A" w:rsidRPr="0087271E" w:rsidRDefault="00FB205A" w:rsidP="008727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5BA20368" w14:textId="0BC89991" w:rsidR="00FB205A" w:rsidRPr="0087271E" w:rsidRDefault="00FB205A" w:rsidP="008727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75DA880B" w14:textId="7E9E8A77" w:rsidR="00FB205A" w:rsidRPr="0087271E" w:rsidRDefault="00FB205A" w:rsidP="008727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2878CB56" w14:textId="2332F377" w:rsidR="00DD4313" w:rsidRPr="0087271E" w:rsidRDefault="00DD4313" w:rsidP="008727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</w:t>
      </w:r>
      <w:r w:rsidR="00FB205A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– 2021</w:t>
      </w:r>
      <w:r w:rsidR="007D2E67"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1D6AB3" w14:textId="77777777" w:rsidR="00DD4313" w:rsidRPr="0087271E" w:rsidRDefault="00DD4313" w:rsidP="008727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2C93214E" w14:textId="77777777" w:rsidR="00DD4313" w:rsidRPr="0087271E" w:rsidRDefault="00DD4313" w:rsidP="008727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237183BB" w14:textId="77777777" w:rsidR="00DD4313" w:rsidRPr="0087271E" w:rsidRDefault="00DD4313" w:rsidP="008727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lk128688841"/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bookmarkEnd w:id="2"/>
    <w:p w14:paraId="54D760F8" w14:textId="0ABFC35D" w:rsidR="00DD4313" w:rsidRPr="0087271E" w:rsidRDefault="00DD4313" w:rsidP="0087271E">
      <w:pPr>
        <w:pStyle w:val="Heading2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Maksud dan Tujuan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65AFE13C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75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932615A" w14:textId="3196BB5C" w:rsidR="00FB205A" w:rsidRPr="0087271E" w:rsidRDefault="00FB205A" w:rsidP="008727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5CCD860C" w14:textId="5A934E94" w:rsidR="00FB205A" w:rsidRPr="0087271E" w:rsidRDefault="00FB205A" w:rsidP="008727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2010– 2021.</w:t>
      </w:r>
    </w:p>
    <w:p w14:paraId="6F3E0428" w14:textId="7B316904" w:rsidR="00FB205A" w:rsidRPr="0087271E" w:rsidRDefault="00FB205A" w:rsidP="008727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27609E27" w14:textId="678187A7" w:rsidR="00DD4313" w:rsidRPr="0087271E" w:rsidRDefault="00DD4313" w:rsidP="008727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40A01276" w14:textId="77777777" w:rsidR="00DD4313" w:rsidRPr="0087271E" w:rsidRDefault="00DD4313" w:rsidP="008727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57F11FF8" w14:textId="77777777" w:rsidR="00DD4313" w:rsidRPr="0087271E" w:rsidRDefault="00DD4313" w:rsidP="008727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58644489" w14:textId="77777777" w:rsidR="00DD4313" w:rsidRPr="0087271E" w:rsidRDefault="00DD4313" w:rsidP="008727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pada PT. Astra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</w:t>
      </w:r>
    </w:p>
    <w:p w14:paraId="19A614A3" w14:textId="046A8794" w:rsidR="00DD4313" w:rsidRPr="0087271E" w:rsidRDefault="00DD4313" w:rsidP="0087271E">
      <w:pPr>
        <w:pStyle w:val="Heading2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Kegunaan</w:t>
      </w:r>
      <w:proofErr w:type="spellEnd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3727507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004FC8" w14:textId="581C0B86" w:rsidR="00DD4313" w:rsidRPr="0087271E" w:rsidRDefault="00DD4313" w:rsidP="0087271E">
      <w:pPr>
        <w:pStyle w:val="Heading3"/>
        <w:numPr>
          <w:ilvl w:val="2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</w:rPr>
        <w:t>Kegunaan</w:t>
      </w:r>
      <w:proofErr w:type="spellEnd"/>
      <w:r w:rsidRPr="0087271E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</w:rPr>
        <w:t>Praktis</w:t>
      </w:r>
      <w:proofErr w:type="spellEnd"/>
    </w:p>
    <w:p w14:paraId="0C017504" w14:textId="77777777" w:rsidR="00DD4313" w:rsidRPr="0087271E" w:rsidRDefault="00DD4313" w:rsidP="008727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Asset.</w:t>
      </w:r>
    </w:p>
    <w:p w14:paraId="2EF2C743" w14:textId="77777777" w:rsidR="00DD4313" w:rsidRPr="0087271E" w:rsidRDefault="00DD4313" w:rsidP="008727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320A5" w14:textId="77777777" w:rsidR="00DD4313" w:rsidRPr="0087271E" w:rsidRDefault="00DD4313" w:rsidP="008727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982278" w14:textId="4BDC2853" w:rsidR="00DD4313" w:rsidRPr="0087271E" w:rsidRDefault="00DD4313" w:rsidP="0087271E">
      <w:pPr>
        <w:pStyle w:val="Heading3"/>
        <w:numPr>
          <w:ilvl w:val="2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</w:rPr>
        <w:t>Kegunaan</w:t>
      </w:r>
      <w:proofErr w:type="spellEnd"/>
      <w:r w:rsidRPr="0087271E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</w:rPr>
        <w:t>Akademis</w:t>
      </w:r>
      <w:proofErr w:type="spellEnd"/>
    </w:p>
    <w:p w14:paraId="2F6F4F34" w14:textId="77777777" w:rsidR="00DD4313" w:rsidRPr="0087271E" w:rsidRDefault="00DD4313" w:rsidP="008727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Assets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961FAA" w14:textId="14B77AE9" w:rsidR="00DD4313" w:rsidRPr="0087271E" w:rsidRDefault="00DD4313" w:rsidP="008727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piutang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87271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dibangku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49B6BD" w14:textId="3F8CF4C2" w:rsidR="00DD4313" w:rsidRPr="0087271E" w:rsidRDefault="0087271E" w:rsidP="0087271E">
      <w:pPr>
        <w:pStyle w:val="Heading2"/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D4313"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Lokasi dan Waktu </w:t>
      </w:r>
      <w:proofErr w:type="spellStart"/>
      <w:r w:rsidR="00DD4313" w:rsidRPr="008727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DF465C7" w14:textId="43A27AEA" w:rsidR="00DD4313" w:rsidRPr="0087271E" w:rsidRDefault="00DD4313" w:rsidP="0087271E">
      <w:pPr>
        <w:pStyle w:val="Heading3"/>
        <w:numPr>
          <w:ilvl w:val="2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87271E">
        <w:rPr>
          <w:rFonts w:ascii="Times New Roman" w:eastAsia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</w:rPr>
        <w:t>Penelitian</w:t>
      </w:r>
      <w:proofErr w:type="spellEnd"/>
    </w:p>
    <w:p w14:paraId="635DB270" w14:textId="294E42E0" w:rsidR="0064442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</w:rPr>
      </w:pP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PT.Astra</w:t>
      </w:r>
      <w:proofErr w:type="spellEnd"/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71E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Tbk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data-data yang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Astra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– 2021. Yang </w:t>
      </w:r>
      <w:proofErr w:type="spellStart"/>
      <w:proofErr w:type="gram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proofErr w:type="gramEnd"/>
      <w:r w:rsidRPr="00872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hyperlink r:id="rId7">
        <w:proofErr w:type="spellStart"/>
        <w:r w:rsidRPr="0087271E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Laporan</w:t>
        </w:r>
        <w:proofErr w:type="spellEnd"/>
        <w:r w:rsidRPr="0087271E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7271E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Keuangan</w:t>
        </w:r>
        <w:proofErr w:type="spellEnd"/>
        <w:r w:rsidRPr="0087271E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 xml:space="preserve"> Astra International </w:t>
        </w:r>
        <w:proofErr w:type="spellStart"/>
        <w:r w:rsidRPr="0087271E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Tbk</w:t>
        </w:r>
        <w:proofErr w:type="spellEnd"/>
        <w:r w:rsidRPr="0087271E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 xml:space="preserve"> (ASII) - Kinerjaemiten.com (kontan.co.id)</w:t>
        </w:r>
      </w:hyperlink>
    </w:p>
    <w:p w14:paraId="17421B94" w14:textId="392C60C6" w:rsidR="00DD4313" w:rsidRPr="0087271E" w:rsidRDefault="00DD4313" w:rsidP="0087271E">
      <w:pPr>
        <w:pStyle w:val="Heading3"/>
        <w:numPr>
          <w:ilvl w:val="2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87271E">
        <w:rPr>
          <w:rFonts w:ascii="Times New Roman" w:eastAsia="Times New Roman" w:hAnsi="Times New Roman" w:cs="Times New Roman"/>
          <w:b/>
          <w:bCs/>
          <w:color w:val="auto"/>
        </w:rPr>
        <w:t xml:space="preserve">Waktu </w:t>
      </w:r>
      <w:proofErr w:type="spellStart"/>
      <w:r w:rsidRPr="0087271E">
        <w:rPr>
          <w:rFonts w:ascii="Times New Roman" w:eastAsia="Times New Roman" w:hAnsi="Times New Roman" w:cs="Times New Roman"/>
          <w:b/>
          <w:bCs/>
          <w:color w:val="auto"/>
        </w:rPr>
        <w:t>Penelitian</w:t>
      </w:r>
      <w:proofErr w:type="spellEnd"/>
    </w:p>
    <w:p w14:paraId="5B70DB83" w14:textId="15826A97" w:rsidR="00DD4313" w:rsidRPr="0087271E" w:rsidRDefault="0087271E" w:rsidP="0087271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1. 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7271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727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Waktu </w:t>
      </w:r>
      <w:proofErr w:type="spellStart"/>
      <w:r w:rsidR="00DD4313" w:rsidRPr="0087271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979"/>
        <w:gridCol w:w="1323"/>
        <w:gridCol w:w="1270"/>
        <w:gridCol w:w="1367"/>
        <w:gridCol w:w="1648"/>
      </w:tblGrid>
      <w:tr w:rsidR="00DD5800" w:rsidRPr="0087271E" w14:paraId="4D706048" w14:textId="77777777" w:rsidTr="000A2ACB">
        <w:tc>
          <w:tcPr>
            <w:tcW w:w="510" w:type="dxa"/>
            <w:vMerge w:val="restart"/>
            <w:vAlign w:val="center"/>
          </w:tcPr>
          <w:p w14:paraId="60C6F5C0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9" w:type="dxa"/>
            <w:vMerge w:val="restart"/>
            <w:vAlign w:val="center"/>
          </w:tcPr>
          <w:p w14:paraId="4BCEA42F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Kegiatan</w:t>
            </w:r>
          </w:p>
        </w:tc>
        <w:tc>
          <w:tcPr>
            <w:tcW w:w="5608" w:type="dxa"/>
            <w:gridSpan w:val="4"/>
            <w:vAlign w:val="center"/>
          </w:tcPr>
          <w:p w14:paraId="587CF92F" w14:textId="7DA28974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27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2023</w:t>
            </w:r>
          </w:p>
        </w:tc>
      </w:tr>
      <w:tr w:rsidR="00DD5800" w:rsidRPr="0087271E" w14:paraId="485CDCCE" w14:textId="77777777" w:rsidTr="009A78D7">
        <w:tc>
          <w:tcPr>
            <w:tcW w:w="510" w:type="dxa"/>
            <w:vMerge/>
            <w:vAlign w:val="center"/>
          </w:tcPr>
          <w:p w14:paraId="6B2A8CAF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9" w:type="dxa"/>
            <w:vMerge/>
            <w:vAlign w:val="center"/>
          </w:tcPr>
          <w:p w14:paraId="5A64104E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4BD26E8E" w14:textId="28546704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727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Februari</w:t>
            </w:r>
            <w:proofErr w:type="spellEnd"/>
          </w:p>
        </w:tc>
        <w:tc>
          <w:tcPr>
            <w:tcW w:w="1270" w:type="dxa"/>
            <w:vAlign w:val="center"/>
          </w:tcPr>
          <w:p w14:paraId="62E81ED7" w14:textId="0FBEBF69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27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Maret</w:t>
            </w:r>
          </w:p>
        </w:tc>
        <w:tc>
          <w:tcPr>
            <w:tcW w:w="1367" w:type="dxa"/>
            <w:vAlign w:val="center"/>
          </w:tcPr>
          <w:p w14:paraId="7DF41576" w14:textId="22C41964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27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648" w:type="dxa"/>
            <w:vAlign w:val="center"/>
          </w:tcPr>
          <w:p w14:paraId="17E85DA2" w14:textId="2D7EB06D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27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Mei</w:t>
            </w:r>
          </w:p>
        </w:tc>
      </w:tr>
      <w:tr w:rsidR="00DD5800" w:rsidRPr="0087271E" w14:paraId="38A4C927" w14:textId="77777777" w:rsidTr="00DD5800">
        <w:tc>
          <w:tcPr>
            <w:tcW w:w="510" w:type="dxa"/>
            <w:vAlign w:val="center"/>
          </w:tcPr>
          <w:p w14:paraId="2D8F9338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  <w:vAlign w:val="center"/>
          </w:tcPr>
          <w:p w14:paraId="780F90A6" w14:textId="77777777" w:rsidR="00DD5800" w:rsidRPr="0087271E" w:rsidRDefault="00DD5800" w:rsidP="008727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</w:rPr>
              <w:t xml:space="preserve">Penyusunan dan Pengajuan 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082D312F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C49BBC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99755F6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7DC98FF6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800" w:rsidRPr="0087271E" w14:paraId="7FC277FE" w14:textId="77777777" w:rsidTr="00DD5800">
        <w:tc>
          <w:tcPr>
            <w:tcW w:w="510" w:type="dxa"/>
            <w:vAlign w:val="center"/>
          </w:tcPr>
          <w:p w14:paraId="24C5AF84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9" w:type="dxa"/>
            <w:vAlign w:val="center"/>
          </w:tcPr>
          <w:p w14:paraId="4EEB2655" w14:textId="77777777" w:rsidR="00DD5800" w:rsidRPr="0087271E" w:rsidRDefault="00DD5800" w:rsidP="008727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</w:rPr>
              <w:t xml:space="preserve">Pengumpulan Data 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2E2A5A61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14:paraId="29DA0A5D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2CCC646F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3835B737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800" w:rsidRPr="0087271E" w14:paraId="73493429" w14:textId="77777777" w:rsidTr="00DD5800">
        <w:tc>
          <w:tcPr>
            <w:tcW w:w="510" w:type="dxa"/>
            <w:vAlign w:val="center"/>
          </w:tcPr>
          <w:p w14:paraId="62824242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79" w:type="dxa"/>
            <w:vAlign w:val="center"/>
          </w:tcPr>
          <w:p w14:paraId="3A34C8E6" w14:textId="77777777" w:rsidR="00DD5800" w:rsidRPr="0087271E" w:rsidRDefault="00DD5800" w:rsidP="008727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</w:rPr>
              <w:t>Penyusunan Penelitian</w:t>
            </w:r>
          </w:p>
        </w:tc>
        <w:tc>
          <w:tcPr>
            <w:tcW w:w="1323" w:type="dxa"/>
            <w:vAlign w:val="center"/>
          </w:tcPr>
          <w:p w14:paraId="160C011D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14:paraId="65937C0A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660A88E9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3D334775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800" w:rsidRPr="0087271E" w14:paraId="0D2E326D" w14:textId="77777777" w:rsidTr="00DD5800">
        <w:tc>
          <w:tcPr>
            <w:tcW w:w="510" w:type="dxa"/>
            <w:vAlign w:val="center"/>
          </w:tcPr>
          <w:p w14:paraId="5A62EEDF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9" w:type="dxa"/>
            <w:vAlign w:val="center"/>
          </w:tcPr>
          <w:p w14:paraId="2072C318" w14:textId="77777777" w:rsidR="00DD5800" w:rsidRPr="0087271E" w:rsidRDefault="00DD5800" w:rsidP="008727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71E">
              <w:rPr>
                <w:rFonts w:ascii="Times New Roman" w:hAnsi="Times New Roman" w:cs="Times New Roman"/>
                <w:sz w:val="24"/>
                <w:szCs w:val="24"/>
              </w:rPr>
              <w:t>Sidang Penelitian</w:t>
            </w:r>
          </w:p>
        </w:tc>
        <w:tc>
          <w:tcPr>
            <w:tcW w:w="1323" w:type="dxa"/>
            <w:vAlign w:val="center"/>
          </w:tcPr>
          <w:p w14:paraId="6DB340A4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14:paraId="10C3B404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3EDDA83D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588BFB22" w14:textId="77777777" w:rsidR="00DD5800" w:rsidRPr="0087271E" w:rsidRDefault="00DD5800" w:rsidP="008727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4C9980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9B0D3" w14:textId="77777777" w:rsidR="00DD4313" w:rsidRPr="0087271E" w:rsidRDefault="00DD4313" w:rsidP="0087271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End w:id="0"/>
    <w:p w14:paraId="296333AD" w14:textId="77777777" w:rsidR="00DD7AA5" w:rsidRPr="0087271E" w:rsidRDefault="00DD7AA5" w:rsidP="0087271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7AA5" w:rsidRPr="0087271E" w:rsidSect="0041401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A4A"/>
    <w:multiLevelType w:val="multilevel"/>
    <w:tmpl w:val="5EDC7E4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1C7A"/>
    <w:multiLevelType w:val="multilevel"/>
    <w:tmpl w:val="4C8878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5A3837"/>
    <w:multiLevelType w:val="multilevel"/>
    <w:tmpl w:val="ABE855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E4AAC"/>
    <w:multiLevelType w:val="multilevel"/>
    <w:tmpl w:val="EB8E6AD0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EFA421B"/>
    <w:multiLevelType w:val="multilevel"/>
    <w:tmpl w:val="933875C2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792145E3"/>
    <w:multiLevelType w:val="multilevel"/>
    <w:tmpl w:val="D7044C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554262">
    <w:abstractNumId w:val="0"/>
  </w:num>
  <w:num w:numId="2" w16cid:durableId="2057198808">
    <w:abstractNumId w:val="2"/>
  </w:num>
  <w:num w:numId="3" w16cid:durableId="439495884">
    <w:abstractNumId w:val="5"/>
  </w:num>
  <w:num w:numId="4" w16cid:durableId="1047728758">
    <w:abstractNumId w:val="3"/>
  </w:num>
  <w:num w:numId="5" w16cid:durableId="1906836588">
    <w:abstractNumId w:val="4"/>
  </w:num>
  <w:num w:numId="6" w16cid:durableId="11425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13"/>
    <w:rsid w:val="00070951"/>
    <w:rsid w:val="0016052E"/>
    <w:rsid w:val="0040141D"/>
    <w:rsid w:val="00524838"/>
    <w:rsid w:val="00644423"/>
    <w:rsid w:val="00704A1D"/>
    <w:rsid w:val="00715AB9"/>
    <w:rsid w:val="007D2E67"/>
    <w:rsid w:val="0087271E"/>
    <w:rsid w:val="009A06E9"/>
    <w:rsid w:val="00A258D0"/>
    <w:rsid w:val="00AD348A"/>
    <w:rsid w:val="00AE5EF9"/>
    <w:rsid w:val="00B22C8A"/>
    <w:rsid w:val="00B80F37"/>
    <w:rsid w:val="00BF73EA"/>
    <w:rsid w:val="00C77E77"/>
    <w:rsid w:val="00C97CC7"/>
    <w:rsid w:val="00CD633D"/>
    <w:rsid w:val="00D35F06"/>
    <w:rsid w:val="00DD4313"/>
    <w:rsid w:val="00DD5800"/>
    <w:rsid w:val="00DD7AA5"/>
    <w:rsid w:val="00E43F90"/>
    <w:rsid w:val="00EA6155"/>
    <w:rsid w:val="00ED0565"/>
    <w:rsid w:val="00F619DE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0015"/>
  <w15:chartTrackingRefBased/>
  <w15:docId w15:val="{6B042312-1E84-43CB-9429-C65D634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313"/>
  </w:style>
  <w:style w:type="paragraph" w:styleId="Heading1">
    <w:name w:val="heading 1"/>
    <w:basedOn w:val="Normal"/>
    <w:next w:val="Normal"/>
    <w:link w:val="Heading1Char"/>
    <w:uiPriority w:val="9"/>
    <w:qFormat/>
    <w:rsid w:val="0087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43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DD4313"/>
  </w:style>
  <w:style w:type="table" w:styleId="TableGrid">
    <w:name w:val="Table Grid"/>
    <w:basedOn w:val="TableNormal"/>
    <w:uiPriority w:val="39"/>
    <w:qFormat/>
    <w:rsid w:val="00DD5800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727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miten.kontan.co.id/perusahaan/48/Astra-International-Tb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CF92-5FC2-41A5-BF14-4C27E142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14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cp:lastPrinted>2023-02-22T13:50:00Z</cp:lastPrinted>
  <dcterms:created xsi:type="dcterms:W3CDTF">2023-02-22T13:25:00Z</dcterms:created>
  <dcterms:modified xsi:type="dcterms:W3CDTF">2023-05-17T01:57:00Z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e06993a2-88e1-30c5-8fe1-13529dd316ae</vt:lpwstr>
  </property>
  <property fmtid="{D5CDD505-2E9C-101B-9397-08002B2CF9AE}" pid="24" name="Mendeley Citation Style_1">
    <vt:lpwstr>http://www.zotero.org/styles/apa</vt:lpwstr>
  </property>
</Properties>
</file>