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E293B"/>
          <w:sz w:val="40"/>
          <w:szCs w:val="40"/>
        </w:rPr>
        <w:t xml:space="preserve">Navigating AwardSpring: A Guide for Donors</w:t>
      </w:r>
    </w:p>
    <w:p>
      <w:pPr>
        <w:pBdr>
          <w:bottom w:val="single" w:color="9A6E08" w:sz="10" w:space="8"/>
        </w:pBdr>
        <w:spacing w:after="160"/>
      </w:pPr>
      <w:r>
        <w:rPr>
          <w:i/>
          <w:iCs/>
          <w:color w:val="9A6E08"/>
          <w:sz w:val="24"/>
          <w:szCs w:val="24"/>
        </w:rPr>
        <w:t xml:space="preserve">A step-by-step guide for donors participating in the scholarship review process</w:t>
      </w:r>
    </w:p>
    <w:p>
      <w:pPr>
        <w:spacing w:after="200" w:before="200" w:line="280"/>
      </w:pPr>
      <w:r>
        <w:rPr>
          <w:color w:val="111827"/>
          <w:sz w:val="21"/>
          <w:szCs w:val="21"/>
        </w:rPr>
        <w:t xml:space="preserve">This guide walks you through accessing your account on the AwardSpring platform, and — if you're participating in reviewing or scoring applicants — using your dashboard to review applications and any awarding documents your applicants have provided.</w:t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Start by navigating to your organization's AwardSpring site. The URL will be provided to you by your organization's administrator.</w:t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You will land at the login page. (Please note that this page is customizable, so your organization's login page may look different than the example below.)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5715000" cy="403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The administrator would have created your account; however, you are required to set up the password for the account. To do so, click the </w:t>
      </w:r>
      <w:r>
        <w:rPr>
          <w:b/>
          <w:bCs/>
          <w:color w:val="111827"/>
          <w:sz w:val="21"/>
          <w:szCs w:val="21"/>
        </w:rPr>
        <w:t xml:space="preserve">Forgot Password</w:t>
      </w:r>
      <w:r>
        <w:rPr>
          <w:color w:val="111827"/>
          <w:sz w:val="21"/>
          <w:szCs w:val="21"/>
        </w:rPr>
        <w:t xml:space="preserve"> button.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49530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Type in your email and click the </w:t>
      </w:r>
      <w:r>
        <w:rPr>
          <w:b/>
          <w:bCs/>
          <w:color w:val="111827"/>
          <w:sz w:val="21"/>
          <w:szCs w:val="21"/>
        </w:rPr>
        <w:t xml:space="preserve">Reset Password</w:t>
      </w:r>
      <w:r>
        <w:rPr>
          <w:color w:val="111827"/>
          <w:sz w:val="21"/>
          <w:szCs w:val="21"/>
        </w:rPr>
        <w:t xml:space="preserve"> button.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55626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You will receive an email with a link in it, or you can click the </w:t>
      </w:r>
      <w:r>
        <w:rPr>
          <w:b/>
          <w:bCs/>
          <w:color w:val="111827"/>
          <w:sz w:val="21"/>
          <w:szCs w:val="21"/>
        </w:rPr>
        <w:t xml:space="preserve">Reset Password</w:t>
      </w:r>
      <w:r>
        <w:rPr>
          <w:color w:val="111827"/>
          <w:sz w:val="21"/>
          <w:szCs w:val="21"/>
        </w:rPr>
        <w:t xml:space="preserve"> link, which will allow you to create a password.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459105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You're required to type in your password twice. When ready, click </w:t>
      </w:r>
      <w:r>
        <w:rPr>
          <w:b/>
          <w:bCs/>
          <w:color w:val="111827"/>
          <w:sz w:val="21"/>
          <w:szCs w:val="21"/>
        </w:rPr>
        <w:t xml:space="preserve">Reset Password</w:t>
      </w:r>
      <w:r>
        <w:rPr>
          <w:color w:val="111827"/>
          <w:sz w:val="21"/>
          <w:szCs w:val="21"/>
        </w:rPr>
        <w:t xml:space="preserve">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57150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On the next screen, you'll be asked to agree to the terms of use and privacy policy.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571500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On your dashboard, under the Applicants tab, you'll find a list of applicants for scholarships that you are associated with.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51054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Once you select an applicant's name, you'll be able to view their application responses — their major, personal statement, financial need statement, and cumulative GPA.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5715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If you are participating in the process of reviewing/scoring applicants, you'll be able to complete this task under the Assignments tab on your dashboard.</w:t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Here you will find a list of review groups you were assigned in, and a list of applicants in each.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hd w:fill="F8FAFC" w:val="clear"/>
        <w:spacing w:after="120" w:before="120" w:line="280"/>
        <w:ind w:left="120" w:right="120"/>
      </w:pPr>
      <w:r>
        <w:rPr>
          <w:b/>
          <w:bCs/>
          <w:color w:val="374151"/>
          <w:sz w:val="20"/>
          <w:szCs w:val="20"/>
        </w:rPr>
        <w:t xml:space="preserve">Note: </w:t>
      </w:r>
      <w:r>
        <w:rPr>
          <w:color w:val="374151"/>
          <w:sz w:val="20"/>
          <w:szCs w:val="20"/>
        </w:rPr>
        <w:t xml:space="preserve">If the applicant names have been blinded, you will see a number populated instead of their name.</w:t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Once you select an applicant, you will be able to view their application, score them under the Score Cards tab, and leave a comment (optional).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Under the Instructions tab, you'll have access to instructions that the Administrator team provided. You can easily refer to them as you are reviewing applications.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379095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Once done, click the </w:t>
      </w:r>
      <w:r>
        <w:rPr>
          <w:b/>
          <w:bCs/>
          <w:color w:val="111827"/>
          <w:sz w:val="21"/>
          <w:szCs w:val="21"/>
        </w:rPr>
        <w:t xml:space="preserve">Next Applicant</w:t>
      </w:r>
      <w:r>
        <w:rPr>
          <w:color w:val="111827"/>
          <w:sz w:val="21"/>
          <w:szCs w:val="21"/>
        </w:rPr>
        <w:t xml:space="preserve"> button to review the next applicant.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5715000" cy="183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Once you have completed scoring all applicants, you can click the </w:t>
      </w:r>
      <w:r>
        <w:rPr>
          <w:b/>
          <w:bCs/>
          <w:color w:val="111827"/>
          <w:sz w:val="21"/>
          <w:szCs w:val="21"/>
        </w:rPr>
        <w:t xml:space="preserve">Save and Exit</w:t>
      </w:r>
      <w:r>
        <w:rPr>
          <w:color w:val="111827"/>
          <w:sz w:val="21"/>
          <w:szCs w:val="21"/>
        </w:rPr>
        <w:t xml:space="preserve"> button.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5715000" cy="183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 w:line="280"/>
      </w:pPr>
      <w:r>
        <w:rPr>
          <w:color w:val="111827"/>
          <w:sz w:val="21"/>
          <w:szCs w:val="21"/>
        </w:rPr>
        <w:t xml:space="preserve">Otherwise, you can proceed to sign out of your account by clicking the profile icon in the top right corner, then click </w:t>
      </w:r>
      <w:r>
        <w:rPr>
          <w:b/>
          <w:bCs/>
          <w:color w:val="111827"/>
          <w:sz w:val="21"/>
          <w:szCs w:val="21"/>
        </w:rPr>
        <w:t xml:space="preserve">Log Out</w:t>
      </w:r>
      <w:r>
        <w:rPr>
          <w:color w:val="111827"/>
          <w:sz w:val="21"/>
          <w:szCs w:val="21"/>
        </w:rPr>
        <w:t xml:space="preserve">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0" w:before="60"/>
      </w:pPr>
      <w:r>
        <w:drawing>
          <wp:inline distT="0" distB="0" distL="0" distR="0">
            <wp:extent cx="571500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</w:pPr>
      <w:r>
        <w:rPr>
          <w:i/>
          <w:iCs/>
          <w:color w:val="64748B"/>
          <w:sz w:val="16"/>
          <w:szCs w:val="16"/>
        </w:rPr>
        <w:t xml:space="preserve">Need more help? Contact your organization's AwardSpring administrator, or visit the AwardSpring Support Help Center.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fc435a04669f1b0e56e57699bb507aeabb88a4e.png"/><Relationship Id="rId8" Type="http://schemas.openxmlformats.org/officeDocument/2006/relationships/image" Target="media/679caee7e9bb128b7321763c149fc12e2ca49ce2.png"/><Relationship Id="rId9" Type="http://schemas.openxmlformats.org/officeDocument/2006/relationships/image" Target="media/0eb946b2d4b6a76561f1949462de4d37dccd7842.png"/><Relationship Id="rId10" Type="http://schemas.openxmlformats.org/officeDocument/2006/relationships/image" Target="media/1b4898ac8cb84a2f573c88757ed95822871deece.png"/><Relationship Id="rId11" Type="http://schemas.openxmlformats.org/officeDocument/2006/relationships/image" Target="media/1b273e445baceb636444414b77e9ad2664d64bd6.png"/><Relationship Id="rId12" Type="http://schemas.openxmlformats.org/officeDocument/2006/relationships/image" Target="media/36b5ddb4795fc28bce371f95abc9a2d9bc310066.png"/><Relationship Id="rId13" Type="http://schemas.openxmlformats.org/officeDocument/2006/relationships/image" Target="media/c7cda1dc284da284cb7ea79b30021679cb52412c.png"/><Relationship Id="rId14" Type="http://schemas.openxmlformats.org/officeDocument/2006/relationships/image" Target="media/307d4778dbfd20200b53e8b071e8e211e8e3d434.png"/><Relationship Id="rId15" Type="http://schemas.openxmlformats.org/officeDocument/2006/relationships/image" Target="media/bdfb3965e410cd7eb22cb15d88501b44d89fa873.png"/><Relationship Id="rId16" Type="http://schemas.openxmlformats.org/officeDocument/2006/relationships/image" Target="media/a17d58b08b63ebed04531581795a94abfa497326.png"/><Relationship Id="rId17" Type="http://schemas.openxmlformats.org/officeDocument/2006/relationships/image" Target="media/1fc7498dc0622eb7ed90b402041c0314eebf5b61.png"/><Relationship Id="rId18" Type="http://schemas.openxmlformats.org/officeDocument/2006/relationships/image" Target="media/d71cfd62a2db80d63b9cb4cb64b2d3120cae480e.png"/><Relationship Id="rId19" Type="http://schemas.openxmlformats.org/officeDocument/2006/relationships/image" Target="media/5540e00881679683bdeda2886a25f67dc06f214d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2026-09-14T09:42:05.057Z</dcterms:created>
  <dcterms:modified xsi:type="dcterms:W3CDTF">2026-09-14T09:42:05.058Z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