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2111918709254614582050" w:id="1"/>
      <w:r>
        <w:rPr>
          <w:rStyle w:val=""/>
        </w:rPr>
        <w:t>Markdown2-3</w:t>
      </w:r>
      <w:bookmarkEnd w:id="1"/>
      <w:bookmarkEnd/>
    </w:p>
    <w:p>
      <w:pPr>
        <w:pStyle w:val="Heading2"/>
      </w:pPr>
      <w:bookmarkStart w:name="_Toc16292111918928994792993635"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92111919147452844978024"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3"/>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92111919384032256178823"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6"/>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8"/>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0"/>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2"/>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92111919619440262054115"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3">
        <w:r>
          <w:rPr>
            <w:color w:val="0000FF" w:themeColor="hyperlink"/>
            <w:highlight w:val="red"/>
            <w:u w:val="single"/>
          </w:rPr>
          <w:t>Go back to the top</w:t>
        </w:r>
      </w:hyperlink>
    </w:p>
    <w:p>
      <w:pPr>
        <w:pStyle w:val="Heading2"/>
      </w:pPr>
      <w:bookmarkStart w:name="_Toc16292111919857866354708398"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6"/>
        </w:numPr>
      </w:pPr>
      <w:r>
        <w:rPr>
          <w:rStyle w:val=""/>
        </w:rPr>
        <w:t>This is link 4 ordered under link 3</w:t>
      </w:r>
    </w:p>
    <w:p>
      <w:pPr>
        <w:pStyle w:val="Heading3"/>
      </w:pPr>
      <w:bookmarkStart w:name="_Toc16292111920071574873363023"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92111920297416210280391"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92111920502252989088810"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92111920726842305652281"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92111920925515600847670" w:id="1"/>
      <w:r>
        <w:rPr>
          <w:rStyle w:val=""/>
        </w:rPr>
        <w:t>Markdown1</w:t>
      </w:r>
      <w:bookmarkEnd w:id="1"/>
      <w:bookmarkEnd/>
    </w:p>
    <w:p>
      <w:pPr>
        <w:pStyle w:val="Heading2"/>
      </w:pPr>
      <w:bookmarkStart w:name="_Toc16292111921122569353413025" w:id="1"/>
      <w:r>
        <w:rPr>
          <w:rStyle w:val=""/>
        </w:rPr>
        <w:t>PUZZLES CLOUD MARKDOWN FILE HEADING 1</w:t>
      </w:r>
      <w:r>
        <w:rPr>
          <w:rStyle w:val=""/>
        </w:rPr>
        <w:t xml:space="preserve">
</w:t>
      </w:r>
      <w:r>
        <w:rPr>
          <w:rStyle w:val=""/>
        </w:rPr>
        <w:t xml:space="preserve">
</w:t>
      </w:r>
      <w:bookmarkEnd w:id="1"/>
      <w:bookmarkEnd/>
    </w:p>
    <w:p>
      <w:pPr>
        <w:pStyle w:val="Heading3"/>
      </w:pPr>
      <w:bookmarkStart w:name="_Toc16292111921326697075673487" w:id="1"/>
      <w:r>
        <w:rPr>
          <w:rStyle w:val=""/>
        </w:rPr>
        <w:t>Welcome to the puzzles cloud md file HEADING 2</w:t>
      </w:r>
      <w:r>
        <w:rPr>
          <w:rStyle w:val=""/>
        </w:rPr>
        <w:t xml:space="preserve">
</w:t>
      </w:r>
      <w:r>
        <w:rPr>
          <w:rStyle w:val=""/>
        </w:rPr>
        <w:t xml:space="preserve">
</w:t>
      </w:r>
      <w:bookmarkEnd w:id="1"/>
      <w:bookmarkEnd/>
    </w:p>
    <w:p>
      <w:pPr>
        <w:pStyle w:val="Heading4"/>
      </w:pPr>
      <w:bookmarkStart w:name="_Toc16292111921526704971760036" w:id="1"/>
      <w:r>
        <w:rPr>
          <w:rStyle w:val=""/>
        </w:rPr>
        <w:t>Let</w:t>
      </w:r>
      <w:r>
        <w:rPr>
          <w:rStyle w:val=""/>
        </w:rPr>
        <w:t>'</w:t>
      </w:r>
      <w:r>
        <w:rPr>
          <w:rStyle w:val=""/>
        </w:rPr>
        <w:t>s start with stupid jokes HEADING 3</w:t>
      </w:r>
      <w:r>
        <w:rPr>
          <w:rStyle w:val=""/>
        </w:rPr>
        <w:t xml:space="preserve">
</w:t>
      </w:r>
      <w:r>
        <w:rPr>
          <w:rStyle w:val=""/>
        </w:rPr>
        <w:t xml:space="preserve">
</w:t>
      </w:r>
      <w:bookmarkEnd w:id="1"/>
      <w:bookmarkEnd/>
    </w:p>
    <w:p>
      <w:pPr>
        <w:pStyle w:val="Heading5"/>
      </w:pPr>
      <w:bookmarkStart w:name="_Toc1629211192172512944576344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92111921941444265186689" w:id="1"/>
      <w:r>
        <w:rPr>
          <w:rStyle w:val=""/>
        </w:rPr>
        <w:t>Let</w:t>
      </w:r>
      <w:r>
        <w:rPr>
          <w:rStyle w:val=""/>
        </w:rPr>
        <w:t>'</w:t>
      </w:r>
      <w:r>
        <w:rPr>
          <w:rStyle w:val=""/>
        </w:rPr>
        <w:t>s switch to the Czech language HEADING 4</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92111922158381780313358" w:id="1"/>
      <w:r>
        <w:rPr>
          <w:rStyle w:val=""/>
        </w:rPr>
        <w:t>Real Czech language HEADING 5</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Prázdný Čech.</w:t>
      </w:r>
    </w:p>
    <w:p>
      <w:pPr>
        <w:pStyle w:val="Heading2"/>
      </w:pPr>
      <w:bookmarkStart w:name="_Toc16292111922367951978106012" w:id="1"/>
      <w:r>
        <w:rPr>
          <w:rStyle w:val=""/>
        </w:rPr>
        <w:t>Longest Serbian word he he HEADING 1</w:t>
      </w:r>
      <w:r>
        <w:rPr>
          <w:rStyle w:val=""/>
        </w:rPr>
        <w:t xml:space="preserve">
</w:t>
      </w:r>
      <w:r>
        <w:rPr>
          <w:rStyle w:val=""/>
        </w:rPr>
        <w:t xml:space="preserve">
</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92111922573218195805802" w:id="1"/>
      <w:r>
        <w:rPr>
          <w:rStyle w:val=""/>
        </w:rPr>
        <w:t>Serbian literature HEADING 2</w:t>
      </w:r>
      <w:r>
        <w:rPr>
          <w:rStyle w:val=""/>
        </w:rPr>
        <w:t xml:space="preserve">
</w:t>
      </w:r>
      <w:r>
        <w:rPr>
          <w:rStyle w:val=""/>
        </w:rPr>
        <w:t xml:space="preserve">
</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92111922827961420200821" w:id="1"/>
      <w:r>
        <w:rPr>
          <w:rStyle w:val=""/>
        </w:rPr>
        <w:t>It</w:t>
      </w:r>
      <w:r>
        <w:rPr>
          <w:rStyle w:val=""/>
        </w:rPr>
        <w:t>'</w:t>
      </w:r>
      <w:r>
        <w:rPr>
          <w:rStyle w:val=""/>
        </w:rPr>
        <w:t>s enough, lets start with some smart things HEADING 1</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28"/>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 w:numId="17">
    <w:abstractNumId w:val="8"/>
  </w:num>
  <w:num w:numId="18">
    <w:abstractNumId w:val="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numbering.xml" Type="http://schemas.openxmlformats.org/officeDocument/2006/relationships/numbering"/><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 TargetMode="External" Type="http://schemas.openxmlformats.org/officeDocument/2006/relationships/hyperlink"/><Relationship Id="rId24" Target="https://guides.github.com/features/mastering-markdown/" TargetMode="External" Type="http://schemas.openxmlformats.org/officeDocument/2006/relationships/hyperlink"/><Relationship Id="rId25" Target="https://markdown-it.github.io/" TargetMode="External" Type="http://schemas.openxmlformats.org/officeDocument/2006/relationships/hyperlink"/><Relationship Id="rId26" Target="https://confluence.atlassian.com/bitbucketserver/markdown-syntax-guide-776639995.html" TargetMode="External" Type="http://schemas.openxmlformats.org/officeDocument/2006/relationships/hyperlink"/><Relationship Id="rId27" Target="https://github.com/luong-komorebi/Markdown-Tutorial/blob/master/README.md" TargetMode="External" Type="http://schemas.openxmlformats.org/officeDocument/2006/relationships/hyperlink"/><Relationship Id="rId28" Target="media/image13.png" Type="http://schemas.openxmlformats.org/officeDocument/2006/relationships/imag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