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jc w:val="left"/>
        <w:rPr/>
      </w:pPr>
      <w:r>
        <w:rPr/>
        <w:t xml:space="preserve">testerko123455  </w:t>
      </w:r>
    </w:p>
    <w:p>
      <w:pPr>
        <w:pStyle w:val="Heading2"/>
        <w:jc w:val="left"/>
        <w:rPr/>
      </w:pPr>
      <w:bookmarkStart w:id="2" w:name="_Toc165657350669283470875519"/>
      <w:r>
        <w:rPr/>
        <w:t>Peakstagingverification</w:t>
      </w:r>
      <w:bookmarkEnd w:id="2"/>
    </w:p>
    <w:p>
      <w:pPr>
        <w:pStyle w:val="Normal"/>
        <w:jc w:val="left"/>
        <w:rPr/>
      </w:pPr>
      <w:r>
        <w:rPr/>
        <w:t xml:space="preserve">Staging environments are protected with client certificate that can be obtained from your administrator and imported into browser. </w:t>
        <w:br/>
      </w:r>
    </w:p>
    <w:p>
      <w:pPr>
        <w:pStyle w:val="Normal"/>
        <w:jc w:val="left"/>
        <w:rPr/>
      </w:pPr>
      <w:r>
        <w:rPr/>
        <w:t xml:space="preserve">Staging environments are connected with Mimas </w:t>
      </w:r>
      <w:r>
        <w:rPr>
          <w:rStyle w:val="Strong"/>
        </w:rPr>
        <w:t>production</w:t>
      </w:r>
      <w:r>
        <w:rPr/>
        <w:t xml:space="preserve"> environment and Adyen </w:t>
      </w:r>
      <w:r>
        <w:rPr>
          <w:rStyle w:val="Strong"/>
        </w:rPr>
        <w:t>test</w:t>
      </w:r>
      <w:r>
        <w:rPr/>
        <w:t xml:space="preserve"> environment. This means that products can be purchased with test cards. </w:t>
        <w:br/>
      </w:r>
    </w:p>
    <w:p>
      <w:pPr>
        <w:pStyle w:val="Normal"/>
        <w:jc w:val="left"/>
        <w:rPr/>
      </w:pPr>
      <w:r>
        <w:rPr/>
        <w:t xml:space="preserve">After product purchase, cards needs to be cancelled from Mimas by providing values of serial-number and batch-number from order details. </w:t>
        <w:br/>
      </w:r>
    </w:p>
    <w:p>
      <w:pPr>
        <w:pStyle w:val="Normal"/>
        <w:jc w:val="left"/>
        <w:rPr/>
      </w:pPr>
      <w:r>
        <w:rPr/>
        <w:t xml:space="preserve">They can be obtained from API response /api/rest/v1/voucher-orders/{order-uuid}. For example: </w:t>
        <w:br/>
      </w:r>
    </w:p>
    <w:p>
      <w:pPr>
        <w:pStyle w:val="PCCode"/>
        <w:jc w:val="left"/>
        <w:rPr/>
      </w:pPr>
      <w:r>
        <w:rPr/>
        <w:t>{</w:t>
        <w:br/>
        <w:t xml:space="preserve">   "data": {</w:t>
        <w:br/>
        <w:t xml:space="preserve">     "type": "voucher-order",</w:t>
        <w:br/>
        <w:t xml:space="preserve">     "id": "4efe4d2f-169a-4bac-a477-3c6e20cbc5d9",</w:t>
        <w:br/>
        <w:t xml:space="preserve">     "attributes": {</w:t>
        <w:br/>
        <w:t xml:space="preserve">       "notification-status": "delivered",</w:t>
        <w:br/>
        <w:t xml:space="preserve">       "confirmation-status": "none",</w:t>
        <w:br/>
        <w:t xml:space="preserve">       "notification-target": "ivica.vojinovic@gmail.com",</w:t>
        <w:br/>
        <w:t xml:space="preserve">       "notification-type": "email",</w:t>
        <w:br/>
        <w:t xml:space="preserve">       "order-fee-total": 1.95,</w:t>
        <w:br/>
        <w:t xml:space="preserve">       "order-price-total": 16.95,</w:t>
        <w:br/>
        <w:t xml:space="preserve">       "order-status": "pending",</w:t>
        <w:br/>
        <w:t xml:space="preserve">       "order-tax-total": 0,</w:t>
        <w:br/>
        <w:t xml:space="preserve">       "payment-method": "adyen mastercard",</w:t>
        <w:br/>
        <w:t xml:space="preserve">       "payment-provider": "adyen",</w:t>
        <w:br/>
        <w:t xml:space="preserve">       "payment-redirect-url": "",</w:t>
        <w:br/>
        <w:t xml:space="preserve">       "payment-session-id": "863614938877300F",</w:t>
        <w:br/>
        <w:t xml:space="preserve">       "payment-status": "reserved",</w:t>
        <w:br/>
        <w:t xml:space="preserve">       "voucher-code": "TMOBDE15",</w:t>
        <w:br/>
        <w:t xml:space="preserve">       "voucher-currency": "EUR",</w:t>
        <w:br/>
        <w:t xml:space="preserve">       "voucher-status": "reserved",</w:t>
        <w:br/>
        <w:t xml:space="preserve">       "voucher-value": 15,</w:t>
        <w:br/>
        <w:t xml:space="preserve">       "created-date": 1614938858275,</w:t>
        <w:br/>
        <w:t xml:space="preserve">       "short-id": "rp4N6r",</w:t>
        <w:br/>
        <w:t xml:space="preserve">       "serial-number": "5699900436315",</w:t>
        <w:br/>
        <w:t xml:space="preserve">       "provider-code": "TELECOM-D1",</w:t>
        <w:br/>
        <w:t xml:space="preserve">       "confirmation-date": 0,</w:t>
        <w:br/>
        <w:t xml:space="preserve">       "batch-number": "9828924414"</w:t>
        <w:br/>
        <w:t xml:space="preserve">     }</w:t>
        <w:br/>
        <w:t xml:space="preserve">   }</w:t>
        <w:br/>
        <w:t xml:space="preserve"> }</w:t>
        <w:br/>
      </w:r>
    </w:p>
    <w:p>
      <w:pPr>
        <w:pStyle w:val="Normal"/>
        <w:jc w:val="left"/>
        <w:rPr/>
      </w:pPr>
      <w:r>
        <w:rPr/>
        <w:t xml:space="preserve">Staging environment deployments: </w:t>
        <w:br/>
      </w:r>
    </w:p>
    <w:p>
      <w:pPr>
        <w:pStyle w:val="PCBulletList"/>
        <w:numPr>
          <w:ilvl w:val="0"/>
          <w:numId w:val="6"/>
        </w:numPr>
        <w:jc w:val="left"/>
        <w:rPr/>
      </w:pPr>
      <w:r>
        <w:rPr/>
        <w:t xml:space="preserve">DE - </w:t>
      </w:r>
      <w:hyperlink r:id="rId2">
        <w:r>
          <w:rPr>
            <w:rStyle w:val="InternetLink"/>
          </w:rPr>
          <w:t>https://staging.de.www.shop1.rocks/</w:t>
        </w:r>
      </w:hyperlink>
    </w:p>
    <w:p>
      <w:pPr>
        <w:pStyle w:val="PCBulletList"/>
        <w:numPr>
          <w:ilvl w:val="0"/>
          <w:numId w:val="5"/>
        </w:numPr>
        <w:jc w:val="left"/>
        <w:rPr/>
      </w:pPr>
      <w:r>
        <w:rPr/>
        <w:t xml:space="preserve">CZ - </w:t>
      </w:r>
      <w:hyperlink r:id="rId3">
        <w:r>
          <w:rPr>
            <w:rStyle w:val="InternetLink"/>
          </w:rPr>
          <w:t>https://staging.cz.www.shop1.rocks/</w:t>
        </w:r>
      </w:hyperlink>
    </w:p>
    <w:p>
      <w:pPr>
        <w:pStyle w:val="PCBulletList"/>
        <w:numPr>
          <w:ilvl w:val="0"/>
          <w:numId w:val="5"/>
        </w:numPr>
        <w:jc w:val="left"/>
        <w:rPr/>
      </w:pPr>
      <w:r>
        <w:rPr/>
        <w:t xml:space="preserve">PL - </w:t>
      </w:r>
      <w:hyperlink r:id="rId4">
        <w:r>
          <w:rPr>
            <w:rStyle w:val="InternetLink"/>
          </w:rPr>
          <w:t>https://staging.pl.www.shop1.rocks/</w:t>
        </w:r>
      </w:hyperlink>
    </w:p>
    <w:p>
      <w:pPr>
        <w:pStyle w:val="Heading3"/>
        <w:jc w:val="left"/>
        <w:rPr/>
      </w:pPr>
      <w:bookmarkStart w:id="3" w:name="_Toc16565735067592111602282142"/>
      <w:r>
        <w:rPr/>
        <w:t xml:space="preserve">Verification for DE shop  </w:t>
      </w:r>
      <w:bookmarkEnd w:id="3"/>
    </w:p>
    <w:p>
      <w:pPr>
        <w:pStyle w:val="Normal"/>
        <w:jc w:val="left"/>
        <w:rPr/>
      </w:pPr>
      <w:r>
        <w:rPr/>
        <w:t xml:space="preserve">Products from </w:t>
      </w:r>
      <w:r>
        <w:rPr>
          <w:rStyle w:val="Strong"/>
        </w:rPr>
        <w:t>Prepaid-Aufladung</w:t>
      </w:r>
      <w:r>
        <w:rPr/>
        <w:t xml:space="preserve"> (Prepaid Cards) can be used for verification. </w:t>
        <w:br/>
      </w:r>
    </w:p>
    <w:p>
      <w:pPr>
        <w:pStyle w:val="Normal"/>
        <w:jc w:val="left"/>
        <w:rPr/>
      </w:pPr>
      <w:r>
        <w:rPr/>
        <w:t xml:space="preserve">Product details, serial-number and batch-number should be sent to </w:t>
      </w:r>
      <w:hyperlink r:id="rId5">
        <w:r>
          <w:rPr>
            <w:rStyle w:val="InternetLink"/>
          </w:rPr>
          <w:t>christiane.beyer@icp-innovation.lu</w:t>
        </w:r>
      </w:hyperlink>
      <w:r>
        <w:rPr/>
        <w:t xml:space="preserve"> and </w:t>
      </w:r>
      <w:hyperlink r:id="rId6">
        <w:r>
          <w:rPr>
            <w:rStyle w:val="InternetLink"/>
          </w:rPr>
          <w:t>Holger.Krause@icp-innovation.lu</w:t>
        </w:r>
      </w:hyperlink>
      <w:r>
        <w:rPr/>
        <w:t xml:space="preserve"> for cancellation. Do not send the actual activation code, nor the screenshot of that page. </w:t>
        <w:br/>
      </w:r>
    </w:p>
    <w:p>
      <w:pPr>
        <w:pStyle w:val="Heading3"/>
        <w:jc w:val="left"/>
        <w:rPr/>
      </w:pPr>
      <w:bookmarkStart w:id="4" w:name="_Toc16565735067859705644053978"/>
      <w:r>
        <w:rPr/>
        <w:t xml:space="preserve">Verification for CZ shop  </w:t>
      </w:r>
      <w:bookmarkEnd w:id="4"/>
    </w:p>
    <w:p>
      <w:pPr>
        <w:pStyle w:val="Normal"/>
        <w:jc w:val="left"/>
        <w:rPr/>
      </w:pPr>
      <w:r>
        <w:rPr>
          <w:rStyle w:val="Strong"/>
        </w:rPr>
        <w:t>Dárkové karty/Vivantis</w:t>
      </w:r>
      <w:r>
        <w:rPr/>
        <w:t xml:space="preserve"> , </w:t>
      </w:r>
      <w:r>
        <w:rPr>
          <w:rStyle w:val="Strong"/>
        </w:rPr>
        <w:t>Hry &amp; Zábava/Xbox</w:t>
      </w:r>
      <w:r>
        <w:rPr/>
        <w:t xml:space="preserve"> and </w:t>
      </w:r>
      <w:r>
        <w:rPr>
          <w:rStyle w:val="Strong"/>
        </w:rPr>
        <w:t>Paysafecard/Paysafecard</w:t>
      </w:r>
      <w:r>
        <w:rPr/>
        <w:t xml:space="preserve"> can be used for verification. </w:t>
        <w:br/>
      </w:r>
    </w:p>
    <w:p>
      <w:pPr>
        <w:pStyle w:val="Normal"/>
        <w:jc w:val="left"/>
        <w:rPr/>
      </w:pPr>
      <w:r>
        <w:rPr/>
        <w:t xml:space="preserve">Product details, serial-number and batch-number should be sent to </w:t>
      </w:r>
      <w:hyperlink r:id="rId7">
        <w:r>
          <w:rPr>
            <w:rStyle w:val="InternetLink"/>
          </w:rPr>
          <w:t>christiane.beyer@icp-innovation.lu</w:t>
        </w:r>
      </w:hyperlink>
      <w:r>
        <w:rPr/>
        <w:t xml:space="preserve"> and </w:t>
      </w:r>
      <w:hyperlink r:id="rId8">
        <w:r>
          <w:rPr>
            <w:rStyle w:val="InternetLink"/>
          </w:rPr>
          <w:t>Holger.Krause@icp-innovation.lu</w:t>
        </w:r>
      </w:hyperlink>
      <w:r>
        <w:rPr/>
        <w:t xml:space="preserve"> for cancellation. Do not send the actual activation code, nor the screenshot of that page. </w:t>
        <w:br/>
      </w:r>
    </w:p>
    <w:p>
      <w:pPr>
        <w:pStyle w:val="Heading3"/>
        <w:jc w:val="left"/>
        <w:rPr/>
      </w:pPr>
      <w:bookmarkStart w:id="5" w:name="_Toc16565735068129110019319138"/>
      <w:r>
        <w:rPr/>
        <w:t xml:space="preserve">Verification for PL shop  </w:t>
      </w:r>
      <w:bookmarkEnd w:id="5"/>
    </w:p>
    <w:p>
      <w:pPr>
        <w:pStyle w:val="Normal"/>
        <w:jc w:val="left"/>
        <w:rPr/>
      </w:pPr>
      <w:r>
        <w:rPr>
          <w:rStyle w:val="Strong"/>
        </w:rPr>
        <w:t>Gry i rozrywka/Cda 20</w:t>
      </w:r>
      <w:r>
        <w:rPr/>
        <w:t xml:space="preserve"> , </w:t>
      </w:r>
      <w:r>
        <w:rPr>
          <w:rStyle w:val="Strong"/>
        </w:rPr>
        <w:t>Paysafecard/Paysafecard 20</w:t>
      </w:r>
      <w:r>
        <w:rPr/>
        <w:t xml:space="preserve"> , </w:t>
      </w:r>
      <w:r>
        <w:rPr>
          <w:rStyle w:val="Strong"/>
        </w:rPr>
        <w:t>Doładowania/Orange 10</w:t>
      </w:r>
      <w:r>
        <w:rPr/>
        <w:t xml:space="preserve"> and </w:t>
      </w:r>
      <w:r>
        <w:rPr>
          <w:rStyle w:val="Strong"/>
        </w:rPr>
        <w:t>Karty Podarunkowe/Answear 100</w:t>
      </w:r>
      <w:r>
        <w:rPr/>
        <w:t xml:space="preserve"> can be used for verification. </w:t>
        <w:br/>
      </w:r>
    </w:p>
    <w:p>
      <w:pPr>
        <w:pStyle w:val="Normal"/>
        <w:jc w:val="left"/>
        <w:rPr/>
      </w:pPr>
      <w:r>
        <w:rPr/>
        <w:t xml:space="preserve">Product details, serial-number and batch-number should be sent to </w:t>
      </w:r>
      <w:hyperlink r:id="rId9">
        <w:r>
          <w:rPr>
            <w:rStyle w:val="InternetLink"/>
          </w:rPr>
          <w:t>christiane.beyer@icp-innovation.lu</w:t>
        </w:r>
      </w:hyperlink>
      <w:r>
        <w:rPr/>
        <w:t xml:space="preserve"> and </w:t>
      </w:r>
      <w:hyperlink r:id="rId10">
        <w:r>
          <w:rPr>
            <w:rStyle w:val="InternetLink"/>
          </w:rPr>
          <w:t>Holger.Krause@icp-innovation.lu</w:t>
        </w:r>
      </w:hyperlink>
      <w:r>
        <w:rPr/>
        <w:t xml:space="preserve"> for cancellation. Only send the actual activation code and the screenshot of the code delivery page in case of Paysafecard purchase (in other cases the activation code is not to be shared). </w:t>
        <w:br/>
      </w:r>
    </w:p>
    <w:p>
      <w:pPr>
        <w:pStyle w:val="Heading2"/>
        <w:jc w:val="left"/>
        <w:rPr/>
      </w:pPr>
      <w:bookmarkStart w:id="6" w:name="_Toc16565735068399000244826056"/>
      <w:r>
        <w:rPr/>
        <w:t>Testerko2</w:t>
      </w:r>
      <w:bookmarkEnd w:id="6"/>
    </w:p>
    <w:p>
      <w:pPr>
        <w:pStyle w:val="Normal"/>
        <w:jc w:val="left"/>
        <w:rPr/>
      </w:pPr>
      <w:r>
        <w:rPr/>
        <w:t xml:space="preserve">justtest </w:t>
        <w:br/>
      </w:r>
    </w:p>
    <w:p>
      <w:pPr>
        <w:pStyle w:val="Heading3"/>
        <w:jc w:val="left"/>
        <w:rPr/>
      </w:pPr>
      <w:bookmarkStart w:id="7" w:name="_Toc1656573506863706075741230"/>
      <w:r>
        <w:rPr/>
        <w:t xml:space="preserve">puzzlesCloudMDs  </w:t>
      </w:r>
      <w:bookmarkEnd w:id="7"/>
    </w:p>
    <w:p>
      <w:pPr>
        <w:pStyle w:val="Normal"/>
        <w:jc w:val="left"/>
        <w:rPr/>
      </w:pPr>
      <w:r>
        <w:rPr/>
        <w:t xml:space="preserve">pc md 1 2 3 4 5 | test | test1 | test2 | | ---- | ----- | ----- | | 1 | 2 | 3 | | 4 | 5 | 6 | </w:t>
        <w:br/>
      </w:r>
    </w:p>
    <w:p>
      <w:pPr>
        <w:pStyle w:val="Heading1"/>
        <w:jc w:val="left"/>
        <w:rPr/>
      </w:pPr>
      <w:bookmarkStart w:id="8" w:name="_Toc16565735068862620805846682"/>
      <w:r>
        <w:rPr/>
        <w:t xml:space="preserve">yo  </w:t>
      </w:r>
      <w:bookmarkEnd w:id="8"/>
    </w:p>
    <w:p>
      <w:pPr>
        <w:pStyle w:val="Normal"/>
        <w:rPr/>
      </w:pPr>
      <w:r>
        <w:rPr/>
        <w:t xml:space="preserve">New  </w:t>
      </w:r>
    </w:p>
    <w:p>
      <w:pPr>
        <w:pStyle w:val="Normal"/>
        <w:jc w:val="left"/>
        <w:rPr/>
      </w:pPr>
      <w:r>
        <w:rPr/>
        <w:t xml:space="preserve">test </w:t>
        <w:br/>
      </w:r>
    </w:p>
    <w:p>
      <w:pPr>
        <w:pStyle w:val="Heading1"/>
        <w:jc w:val="left"/>
        <w:rPr/>
      </w:pPr>
      <w:bookmarkStart w:id="9" w:name="_Toc16565735069333622377909351"/>
      <w:r>
        <w:rPr/>
        <w:t xml:space="preserve">New  </w:t>
      </w:r>
      <w:bookmarkEnd w:id="9"/>
    </w:p>
    <w:p>
      <w:pPr>
        <w:pStyle w:val="Normal"/>
        <w:jc w:val="left"/>
        <w:rPr/>
      </w:pPr>
      <w:r>
        <w:rPr/>
        <w:t xml:space="preserve">test </w:t>
        <w:br/>
      </w:r>
    </w:p>
    <w:p>
      <w:pPr>
        <w:pStyle w:val="Normal"/>
        <w:rPr/>
      </w:pPr>
      <w:r>
        <w:rPr/>
        <w:t xml:space="preserve">New  </w:t>
      </w:r>
    </w:p>
    <w:p>
      <w:pPr>
        <w:pStyle w:val="Heading1"/>
        <w:jc w:val="left"/>
        <w:rPr/>
      </w:pPr>
      <w:bookmarkStart w:id="10" w:name="_Toc16565735069822276357159818"/>
      <w:r>
        <w:rPr/>
        <w:t xml:space="preserve">New  </w:t>
      </w:r>
      <w:bookmarkEnd w:id="10"/>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11"/>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12"/>
      <w:footerReference w:type="default" r:id="rId13"/>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2"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0407d1"/>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ging.de.www.shop1.rocks/" TargetMode="External"/><Relationship Id="rId3" Type="http://schemas.openxmlformats.org/officeDocument/2006/relationships/hyperlink" Target="https://staging.cz.www.shop1.rocks/" TargetMode="External"/><Relationship Id="rId4" Type="http://schemas.openxmlformats.org/officeDocument/2006/relationships/hyperlink" Target="https://staging.pl.www.shop1.rocks/" TargetMode="External"/><Relationship Id="rId5" Type="http://schemas.openxmlformats.org/officeDocument/2006/relationships/hyperlink" Target="mailto:christiane.beyer@icp-innovation.lu" TargetMode="External"/><Relationship Id="rId6" Type="http://schemas.openxmlformats.org/officeDocument/2006/relationships/hyperlink" Target="mailto:Holger.Krause@icp-innovation.lu" TargetMode="External"/><Relationship Id="rId7" Type="http://schemas.openxmlformats.org/officeDocument/2006/relationships/hyperlink" Target="mailto:christiane.beyer@icp-innovation.lu" TargetMode="External"/><Relationship Id="rId8" Type="http://schemas.openxmlformats.org/officeDocument/2006/relationships/hyperlink" Target="mailto:Holger.Krause@icp-innovation.lu" TargetMode="External"/><Relationship Id="rId9" Type="http://schemas.openxmlformats.org/officeDocument/2006/relationships/hyperlink" Target="mailto:christiane.beyer@icp-innovation.lu" TargetMode="External"/><Relationship Id="rId10" Type="http://schemas.openxmlformats.org/officeDocument/2006/relationships/hyperlink" Target="mailto:Holger.Krause@icp-innovation.lu" TargetMode="External"/><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9CAD61-1DBB-454A-807A-1D39AC38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LibreOffice/7.2.3.2$Linux_X86_64 LibreOffice_project/d166454616c1632304285822f9c83ce2e660fd92</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2021-11-03T10:15:00Z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