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spacing w:after="0" w:line="240" w:lineRule="auto"/>
        <w:ind w:left="0" w:right="0" w:firstLine="0"/>
        <w:jc w:val="center"/>
        <w:rPr>
          <w:rFonts w:ascii="IRMitra" w:cs="IRMitra" w:hAnsi="IRMitra" w:eastAsia="IRMitra"/>
          <w:sz w:val="28"/>
          <w:szCs w:val="28"/>
          <w:rtl w:val="1"/>
        </w:rPr>
      </w:pPr>
    </w:p>
    <w:p>
      <w:pPr>
        <w:pStyle w:val="Heading"/>
        <w:bidi w:val="1"/>
        <w:ind w:left="0" w:right="0" w:firstLine="0"/>
        <w:jc w:val="both"/>
        <w:rPr>
          <w:rStyle w:val="jlqj4b"/>
          <w:rtl w:val="1"/>
        </w:rPr>
      </w:pPr>
      <w:r>
        <w:rPr>
          <w:rFonts w:ascii="IRMitra" w:cs="IRMitra" w:hAnsi="IRMitra" w:eastAsia="IRMitra"/>
          <w:rtl w:val="1"/>
          <w:lang w:val="ar-SA" w:bidi="ar-SA"/>
        </w:rPr>
        <w:t xml:space="preserve">بررسی مقالاتی که در این حوزه منتشر شده است </w:t>
      </w:r>
      <w:r>
        <w:rPr>
          <w:rtl w:val="1"/>
          <w:lang w:val="ar-SA" w:bidi="ar-SA"/>
        </w:rPr>
        <w:t>(</w:t>
      </w:r>
      <w:r>
        <w:rPr>
          <w:rFonts w:ascii="IRMitra" w:cs="IRMitra" w:hAnsi="IRMitra" w:eastAsia="IRMitra"/>
          <w:rtl w:val="1"/>
          <w:lang w:val="ar-SA" w:bidi="ar-SA"/>
        </w:rPr>
        <w:t>از سال ۲۰۱۵</w:t>
      </w:r>
      <w:r>
        <w:rPr>
          <w:rtl w:val="1"/>
          <w:lang w:val="ar-SA" w:bidi="ar-SA"/>
        </w:rPr>
        <w:t>)</w:t>
      </w:r>
    </w:p>
    <w:p>
      <w:pPr>
        <w:pStyle w:val="Body"/>
        <w:bidi w:val="1"/>
        <w:ind w:left="0" w:right="0" w:firstLine="0"/>
        <w:jc w:val="both"/>
        <w:rPr>
          <w:rFonts w:ascii="Times New Roman" w:cs="Times New Roman" w:hAnsi="Times New Roman" w:eastAsia="Times New Roman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both"/>
        <w:rPr>
          <w:rFonts w:ascii="IRMitra" w:cs="IRMitra" w:hAnsi="IRMitra" w:eastAsia="IRMitra"/>
          <w:sz w:val="28"/>
          <w:szCs w:val="28"/>
          <w:rtl w:val="1"/>
        </w:rPr>
      </w:pP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پارتاساراتی و شارما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(2016)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در پژوهشی تحت عنوان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«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تأثیر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بر کیفیت نرم افزار در پروژه های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ERP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»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به بررسی انواع خدمات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ابری برای شخصی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نیازهای مشتریان پرداخته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خلاصه مقاله آن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در ادامه بیان شده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:</w:t>
      </w:r>
    </w:p>
    <w:p>
      <w:pPr>
        <w:pStyle w:val="Body"/>
        <w:bidi w:val="1"/>
        <w:ind w:left="0" w:right="0" w:firstLine="0"/>
        <w:jc w:val="both"/>
        <w:rPr>
          <w:rFonts w:ascii="IRMitra" w:cs="IRMitra" w:hAnsi="IRMitra" w:eastAsia="IRMitra"/>
          <w:sz w:val="28"/>
          <w:szCs w:val="28"/>
          <w:rtl w:val="1"/>
        </w:rPr>
      </w:pP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مشتریان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خواهند برنامه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براساس نیازهای فعلی، محدودیت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و تنظیمات تجاری خود به طور خودکار سفارشی شوند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فیلتر معنایی انتخاب خدمات را بهبود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بخشد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بااین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حال، تعداد سرویس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ابری و کیفیت خدمات یک ارائه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دهنده ابر ثابت نیست و ممکن است با گذشت زمان تغییر کند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در مواجهه با نیازهای در حال توسعه مشاغل و همچنین افزایش خدمات ابری با ارائه کیفیت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مختلف، توسعه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شخصی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نیاز به ارائه راه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حل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مربوطه دارد که انتظارات مشتری را برآورده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کند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ارائه نرم افزار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برای تأمین نیازهای عملکردی یک سازمان با کیفیت قابل قبول، به دلیل ماهیت توسعه و استقرار این نرم افزار بسته بندی شده، یک چالش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سیستم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تواند به شرکت کمک کند تا فعالیت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بیشمار خود را یکپارچه کند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اساساً یک نرم افزار بسته بندی شده است و به عنوان محصولات نرم افزاری سنتی ساخته نشده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به طور معمول، نرم افزار متناسب با نیازهای سازمان طراحی شده است، اما در مورد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، فرایندهای تجاری متناسب با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برای بهره مندی از مزایای کامل آن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برای دستیابی به سیستم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متناسب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با نیازهای تجاری سازمان، ممکن است درجه ای از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مطلوب باشد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در حین اجرا، پارامترهای زیادی وجود دارد که در نتیجه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تحت تأثیر قرار می گیرند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استاورینودیس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2005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؛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روتنبرگر و سریت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2009)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یکی از این پارامترها کیفیت نرم افزار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کیفیت نرم افزار اساس موفقیت راه حل فناوری اطلاعات در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ها را تشکیل می دهد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یانگ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2001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؛ آگاروال و چاری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2007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؛ گوپال و کوکا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2009).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طبق یک نظرسنجی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20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٪ از پروژه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به دلیل دلایل فن آوری شامل ویژگی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کیفیت نرم افزار مانند قابلیت اطمینان و مدیریت پیکربندی ناکافی شکست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خورند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الراگالاند و هاداراب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2012)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کیفیت نرم افزار در انتخاب محصولات بازاریابی تجاری</w:t>
      </w:r>
      <w:r>
        <w:rPr>
          <w:rFonts w:ascii="IRMitra" w:cs="IRMitra" w:hAnsi="IRMitra" w:eastAsia="IRMitra"/>
          <w:sz w:val="28"/>
          <w:szCs w:val="28"/>
          <w:rtl w:val="0"/>
        </w:rPr>
        <w:t xml:space="preserve"> (COTS)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مانند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به یک نکته مهم تبدیل شده است</w:t>
      </w:r>
      <w:r>
        <w:rPr>
          <w:rFonts w:ascii="IRMitra" w:cs="IRMitra" w:hAnsi="IRMitra" w:eastAsia="IRMitra"/>
          <w:sz w:val="28"/>
          <w:szCs w:val="28"/>
          <w:rtl w:val="1"/>
        </w:rPr>
        <w:t>.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نتایج حاصل از پژوهش آن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نشان می دهد که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سازی ماژول بر کیفیت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تأثیر نمی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گذارد، در حالی که تنظیمات پایگاه داده و کد منبع تأثیر قابل توجهی بر کیفیت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دارند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</w:p>
    <w:p>
      <w:pPr>
        <w:pStyle w:val="Body"/>
        <w:bidi w:val="1"/>
        <w:spacing w:before="240"/>
        <w:ind w:left="0" w:right="0" w:firstLine="0"/>
        <w:jc w:val="both"/>
        <w:rPr>
          <w:rFonts w:ascii="IRMitra" w:cs="IRMitra" w:hAnsi="IRMitra" w:eastAsia="IRMitra"/>
          <w:sz w:val="28"/>
          <w:szCs w:val="28"/>
          <w:rtl w:val="1"/>
        </w:rPr>
      </w:pP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رفاد و همکاران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(2018)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در پژوهشی تحت عنوان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«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ترکیب معنایی و پویا براساس نمایندگی خدمات ابری برای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»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به بررسی انواع خدمات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ابری برای شخصی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نیازهای مشتریان پرداخته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خلاصه مقاله آن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در ادامه بیان شده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:</w:t>
      </w:r>
    </w:p>
    <w:p>
      <w:pPr>
        <w:pStyle w:val="Body"/>
        <w:bidi w:val="1"/>
        <w:ind w:left="0" w:right="0" w:firstLine="0"/>
        <w:jc w:val="both"/>
        <w:rPr>
          <w:rFonts w:ascii="IRMitra" w:cs="IRMitra" w:hAnsi="IRMitra" w:eastAsia="IRMitra"/>
          <w:sz w:val="28"/>
          <w:szCs w:val="28"/>
          <w:rtl w:val="1"/>
        </w:rPr>
      </w:pP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امروزه، فناوری ابری به طور گسترده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ای توسط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برای توسعه راه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حل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محاسباتی با کیفیت پذیرفته شده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در واقع،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های کوچک و متوسط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/>
          <w:sz w:val="28"/>
          <w:szCs w:val="28"/>
          <w:rtl w:val="0"/>
        </w:rPr>
        <w:t>SME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)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به دنبال بهترین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سفارشی برای خودکار کردن فعالیت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تجاری خود هستند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پیچیدگی وظیفه انتخاب و ترکیب خدمات با تغییر در نیازهای مختلف عملکردی و غیر عملکردی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کوچک و متوسط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محدودیت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و ترجیحات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)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افزایش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یابد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اکثر سیستم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های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ابری موجود به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اندازه کافی انعطاف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پذیر نیستند تا از سازگاری خودکار فرایند کسب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وکار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پشتیبانی کنند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باتوجه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به پیچیدگی و هزینه بالای این سیستم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های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،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کوچک و متوسط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​​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به دنبال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اختصاصی با درنظرگرفتن تغییر در فعالیت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خود هستند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با گسترش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محاسبات ابری، ارائه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دهندگان اصلی سیستم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در حال ارائه پیشنهادهای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خود به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عنوان یک مدل</w:t>
      </w:r>
      <w:r>
        <w:rPr>
          <w:rFonts w:ascii="IRMitra" w:cs="IRMitra" w:hAnsi="IRMitra" w:eastAsia="IRMitra"/>
          <w:sz w:val="28"/>
          <w:szCs w:val="28"/>
          <w:rtl w:val="0"/>
        </w:rPr>
        <w:t xml:space="preserve"> SaaS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هستند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یوهانسون و رویو، ۲۰۱۳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)</w:t>
      </w:r>
      <w:r>
        <w:rPr>
          <w:rFonts w:ascii="IRMitra" w:cs="IRMitra" w:hAnsi="IRMitra" w:eastAsia="IRMitra"/>
          <w:sz w:val="28"/>
          <w:szCs w:val="28"/>
          <w:rtl w:val="1"/>
        </w:rPr>
        <w:t>.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بااین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حال، این سیستم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به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اندازه کافی انعطاف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پذیر نیستند تا بتوانند نیازهای متغیر تجاری را پشتیبانی کنند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گرایش به سمت رویکرد ترکیب سرویس ابری برای داشتن یک فرایند تجاری</w:t>
      </w:r>
      <w:r>
        <w:rPr>
          <w:rFonts w:ascii="IRMitra" w:cs="IRMitra" w:hAnsi="IRMitra" w:eastAsia="IRMitra"/>
          <w:sz w:val="28"/>
          <w:szCs w:val="28"/>
          <w:rtl w:val="0"/>
        </w:rPr>
        <w:t xml:space="preserve"> (BP)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دو مزیت دارد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: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سهولت ادغام و هزینه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های کمتر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تارانتیلیس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و همکاران، ۲۰۰۸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)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؛ بنابراین، در دسترس بودن تعداد زیادی از سرویس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ابری ناهمگن با</w:t>
      </w:r>
      <w:r>
        <w:rPr>
          <w:rFonts w:ascii="IRMitra" w:cs="IRMitra" w:hAnsi="IRMitra" w:eastAsia="IRMitra"/>
          <w:sz w:val="28"/>
          <w:szCs w:val="28"/>
          <w:rtl w:val="0"/>
          <w:lang w:val="it-IT"/>
        </w:rPr>
        <w:t xml:space="preserve"> QoS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مختلف توسط چندین ارائه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دهنده خدمات ابری ارائه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شود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توسعه دهندگان با بهره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گیری از این خدمات، </w:t>
      </w:r>
      <w:r>
        <w:rPr>
          <w:rFonts w:ascii="IRMitra" w:cs="IRMitra" w:hAnsi="IRMitra" w:eastAsia="IRMitra"/>
          <w:sz w:val="28"/>
          <w:szCs w:val="28"/>
          <w:rtl w:val="1"/>
        </w:rPr>
        <w:t>API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را ارائه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دهند که نیازهای عملکردی و غیر عملکردی خاص مشتریان را برآورده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کند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چندین روش بهینه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ترکیب خدمات برای بهینه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پارامترهای</w:t>
      </w:r>
      <w:r>
        <w:rPr>
          <w:rFonts w:ascii="IRMitra" w:cs="IRMitra" w:hAnsi="IRMitra" w:eastAsia="IRMitra"/>
          <w:sz w:val="28"/>
          <w:szCs w:val="28"/>
          <w:rtl w:val="0"/>
          <w:lang w:val="it-IT"/>
        </w:rPr>
        <w:t xml:space="preserve"> QoS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پیشنهاد شده است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ساسیکالادوی و آروکیام، ۲۰۱۲؛</w:t>
      </w:r>
      <w:r>
        <w:rPr>
          <w:rFonts w:ascii="Times New Roman" w:hAnsi="Times New Roman"/>
          <w:rtl w:val="1"/>
          <w:lang w:val="ar-SA" w:bidi="ar-SA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یو و همکاران، ۲۰۱۵ ؛ اصغری و نویمی پور، ۲۰۱۶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)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بااین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حال، این مکانیسم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تغییر در محدودیت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و تنظیمات مشتری را در نظر نمی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گیرند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علاوه بر این، آنها به طور کارآمد و انعطاف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پذیر تعداد زیادی از خدمات ناهمگن را مدیریت نمی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کنند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این ناهمگنی به معنای تنزل کیفیت کنترل در انتخاب و ترکیب خدمات است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چانگ و همکاران، ۲۰۱۴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)</w:t>
      </w:r>
      <w:r>
        <w:rPr>
          <w:rFonts w:ascii="IRMitra" w:cs="IRMitra" w:hAnsi="IRMitra" w:eastAsia="IRMitra"/>
          <w:sz w:val="28"/>
          <w:szCs w:val="28"/>
          <w:rtl w:val="1"/>
        </w:rPr>
        <w:t>.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نتایج حاصل از این پژوهش بیانگر این است که با بهینه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</w:t>
      </w:r>
      <w:r>
        <w:rPr>
          <w:rFonts w:ascii="IRMitra" w:cs="IRMitra" w:hAnsi="IRMitra" w:eastAsia="IRMitra"/>
          <w:sz w:val="28"/>
          <w:szCs w:val="28"/>
          <w:rtl w:val="0"/>
          <w:lang w:val="it-IT"/>
        </w:rPr>
        <w:t xml:space="preserve"> QoS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باتوجه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به محدودیت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و تنظیمات زمینه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ای آن، فرایند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تجاری به مشتری ارائه دهیم که نیازهای عملکردی او را برآورده کند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</w:p>
    <w:p>
      <w:pPr>
        <w:pStyle w:val="Body"/>
        <w:bidi w:val="1"/>
        <w:spacing w:before="240"/>
        <w:ind w:left="0" w:right="0" w:firstLine="0"/>
        <w:jc w:val="both"/>
        <w:rPr>
          <w:rFonts w:ascii="IRMitra" w:cs="IRMitra" w:hAnsi="IRMitra" w:eastAsia="IRMitra"/>
          <w:sz w:val="28"/>
          <w:szCs w:val="28"/>
          <w:rtl w:val="1"/>
        </w:rPr>
      </w:pP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گوپتا و همکاران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(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۲۰۱۷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)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در پژوهشی تحت عنوان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«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شناسایی چالش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و رتبه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بندی آنها در پیاده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سازی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ابری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: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یک مطالعه مقایسه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ای برای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کوچک و متوسط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و سازمان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بزرگ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»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چالش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اساسی در اجرای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ابری از جمله اینکه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«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سازمان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از نظر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با یکدیگر متفاوت هستند یا خیر؟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»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را شناسایی کرده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خلاصه مقاله آن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در ادامه بیان شده است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:</w:t>
      </w:r>
    </w:p>
    <w:p>
      <w:pPr>
        <w:pStyle w:val="Body"/>
        <w:bidi w:val="1"/>
        <w:ind w:left="0" w:right="0" w:firstLine="0"/>
        <w:jc w:val="both"/>
        <w:rPr>
          <w:rtl w:val="1"/>
        </w:rPr>
      </w:pP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در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 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>ERP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ابری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دستیابی به شخصی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دشوار است زیرا برنامه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استاندارد</w:t>
      </w:r>
      <w:r>
        <w:rPr>
          <w:rFonts w:ascii="IRMitra" w:cs="IRMitra" w:hAnsi="IRMitra" w:eastAsia="IRMitra"/>
          <w:sz w:val="28"/>
          <w:szCs w:val="28"/>
          <w:rtl w:val="0"/>
          <w:lang w:val="de-DE"/>
        </w:rPr>
        <w:t xml:space="preserve"> ERP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ابری برای همه کاربران وجود دارد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حال این سؤال مطرح می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شود که چرا سازمان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از نظر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متفاوت هستند؟ سازمان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بزرگ معمولاً سیستم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بسیار پیچیده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ای دارند و گاه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گاه نیاز به شخصی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دارند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از طرف دیگر،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کوچک و متوسط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به دلیل محدود بودن ماژول، نیاز به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زیادی ندارند؛ بنابراین،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کوچک و متوسط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و سازمان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بزرگ از نظر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با یکدیگر متفاوت هستند</w:t>
      </w:r>
      <w:r>
        <w:rPr>
          <w:rFonts w:ascii="IRMitra" w:cs="IRMitra" w:hAnsi="IRMitra" w:eastAsia="IRMitra"/>
          <w:sz w:val="28"/>
          <w:szCs w:val="28"/>
          <w:rtl w:val="1"/>
        </w:rPr>
        <w:t>.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 xml:space="preserve"> نتایج این مطالعه حاکی است که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کوچک و متوسط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و سازمان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بزرگ در بیشتر چالش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 به جز پیچیدگی تجارت، یکپارچه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سازی، نظارت، امنیت، عملکرد محدود، عملکرد و یکپارچگی ارائه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دهنده از یکدیگر متفاوت هستند؛ بنابراین شرکت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کوچک و متوسط</w:t>
      </w:r>
      <w:r>
        <w:rPr>
          <w:rFonts w:ascii="IRMitra" w:cs="IRMitra" w:hAnsi="IRMitra" w:eastAsia="IRMitra"/>
          <w:sz w:val="28"/>
          <w:szCs w:val="28"/>
          <w:rtl w:val="1"/>
        </w:rPr>
        <w:t xml:space="preserve"> 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و سازمان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های بزرگ از نظر سفارشی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>‌</w:t>
      </w:r>
      <w:r>
        <w:rPr>
          <w:rFonts w:ascii="IRMitra" w:cs="IRMitra" w:hAnsi="IRMitra" w:eastAsia="IRMitra" w:hint="cs"/>
          <w:sz w:val="28"/>
          <w:szCs w:val="28"/>
          <w:rtl w:val="1"/>
          <w:lang w:val="ar-SA" w:bidi="ar-SA"/>
        </w:rPr>
        <w:t>سازی با یکدیگر متفاوت هستند</w:t>
      </w:r>
      <w:r>
        <w:rPr>
          <w:rFonts w:ascii="IRMitra" w:cs="IRMitra" w:hAnsi="IRMitra" w:eastAsia="IRMitra"/>
          <w:sz w:val="28"/>
          <w:szCs w:val="28"/>
          <w:rtl w:val="1"/>
          <w:lang w:val="ar-SA" w:bidi="ar-SA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IRMit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IRMitra" w:cs="IRMitra" w:hAnsi="IRMitra" w:eastAsia="IRMitr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  <w:style w:type="character" w:styleId="jlqj4b">
    <w:name w:val="jlqj4b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