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A802C" w14:textId="77777777" w:rsidR="00E717BC" w:rsidRDefault="00E717BC"/>
    <w:p w14:paraId="1A06ABFD" w14:textId="77777777" w:rsidR="00B562BE" w:rsidRDefault="00B562BE"/>
    <w:p w14:paraId="7210FF12" w14:textId="1CBB8293" w:rsidR="00B562BE" w:rsidRDefault="00B562BE" w:rsidP="00B562BE">
      <w:pPr>
        <w:pStyle w:val="ListParagraph"/>
        <w:numPr>
          <w:ilvl w:val="0"/>
          <w:numId w:val="1"/>
        </w:numPr>
      </w:pPr>
      <w:r>
        <w:t>Function app</w:t>
      </w:r>
    </w:p>
    <w:p w14:paraId="20C1C8D8" w14:textId="2ADCB749" w:rsidR="00990C7F" w:rsidRDefault="00990C7F" w:rsidP="00990C7F">
      <w:hyperlink r:id="rId5" w:history="1">
        <w:r w:rsidRPr="001D3C80">
          <w:rPr>
            <w:rStyle w:val="Hyperlink"/>
          </w:rPr>
          <w:t>https://medium.com/@robertdennyson/how-azure-functions-work-behind-the-scenes-provisioning-scaling-and-the-role-of-docker-and-d62e64255642</w:t>
        </w:r>
      </w:hyperlink>
    </w:p>
    <w:p w14:paraId="662494A7" w14:textId="77777777" w:rsidR="00990C7F" w:rsidRDefault="00990C7F" w:rsidP="00990C7F"/>
    <w:p w14:paraId="00B9AFFE" w14:textId="77777777" w:rsidR="00990C7F" w:rsidRPr="00990C7F" w:rsidRDefault="00990C7F" w:rsidP="00990C7F">
      <w:pPr>
        <w:rPr>
          <w:b/>
          <w:bCs/>
        </w:rPr>
      </w:pPr>
      <w:r w:rsidRPr="00990C7F">
        <w:rPr>
          <w:b/>
          <w:bCs/>
        </w:rPr>
        <w:t>Scaling Mechanism: How Azure Functions Scales on Demand</w:t>
      </w:r>
    </w:p>
    <w:p w14:paraId="6EA1413E" w14:textId="77777777" w:rsidR="00990C7F" w:rsidRPr="00990C7F" w:rsidRDefault="00990C7F" w:rsidP="00990C7F">
      <w:r w:rsidRPr="00990C7F">
        <w:t>One of the most powerful aspects of Azure Functions is its ability to automatically scale in response to workload demands. Whether you’re processing a single HTTP request or millions of messages from a queue, Azure Functions can scale accordingly.</w:t>
      </w:r>
    </w:p>
    <w:p w14:paraId="3B50DA8A" w14:textId="77777777" w:rsidR="00990C7F" w:rsidRPr="00990C7F" w:rsidRDefault="00990C7F" w:rsidP="00990C7F">
      <w:pPr>
        <w:rPr>
          <w:b/>
          <w:bCs/>
        </w:rPr>
      </w:pPr>
      <w:r w:rsidRPr="00990C7F">
        <w:rPr>
          <w:b/>
          <w:bCs/>
        </w:rPr>
        <w:t>1. Consumption Plan: Auto-Scaling Based on Events</w:t>
      </w:r>
    </w:p>
    <w:p w14:paraId="27DCBE9F" w14:textId="77777777" w:rsidR="00990C7F" w:rsidRPr="00990C7F" w:rsidRDefault="00990C7F" w:rsidP="00990C7F">
      <w:r w:rsidRPr="00990C7F">
        <w:t>In the default </w:t>
      </w:r>
      <w:r w:rsidRPr="00990C7F">
        <w:rPr>
          <w:b/>
          <w:bCs/>
        </w:rPr>
        <w:t>Consumption Plan</w:t>
      </w:r>
      <w:r w:rsidRPr="00990C7F">
        <w:t>, Azure Functions uses an event-driven scaling model, where it provisions and scales function instances based on incoming triggers.</w:t>
      </w:r>
    </w:p>
    <w:p w14:paraId="5A898F1C" w14:textId="77777777" w:rsidR="00990C7F" w:rsidRPr="00990C7F" w:rsidRDefault="00990C7F" w:rsidP="00990C7F">
      <w:pPr>
        <w:numPr>
          <w:ilvl w:val="0"/>
          <w:numId w:val="2"/>
        </w:numPr>
      </w:pPr>
      <w:r w:rsidRPr="00990C7F">
        <w:rPr>
          <w:b/>
          <w:bCs/>
        </w:rPr>
        <w:t>Automatic Scaling</w:t>
      </w:r>
      <w:r w:rsidRPr="00990C7F">
        <w:t>: When a function is invoked, Azure monitors the demand (e.g., incoming HTTP requests or messages) and provisions new containers to handle the load. Each container hosts one or more function instances.</w:t>
      </w:r>
    </w:p>
    <w:p w14:paraId="6A440B99" w14:textId="77777777" w:rsidR="00990C7F" w:rsidRPr="00990C7F" w:rsidRDefault="00990C7F" w:rsidP="00990C7F">
      <w:pPr>
        <w:numPr>
          <w:ilvl w:val="0"/>
          <w:numId w:val="2"/>
        </w:numPr>
      </w:pPr>
      <w:r w:rsidRPr="00990C7F">
        <w:rPr>
          <w:b/>
          <w:bCs/>
        </w:rPr>
        <w:t>Scaling to Zero</w:t>
      </w:r>
      <w:r w:rsidRPr="00990C7F">
        <w:t>: In the absence of traffic, Azure Functions can scale down to zero containers to minimize resource usage and cost. When new requests arrive, Azure dynamically provisions containers again.</w:t>
      </w:r>
    </w:p>
    <w:p w14:paraId="4F7DD209" w14:textId="77777777" w:rsidR="00990C7F" w:rsidRPr="00990C7F" w:rsidRDefault="00990C7F" w:rsidP="00990C7F">
      <w:pPr>
        <w:numPr>
          <w:ilvl w:val="0"/>
          <w:numId w:val="2"/>
        </w:numPr>
      </w:pPr>
      <w:r w:rsidRPr="00990C7F">
        <w:rPr>
          <w:b/>
          <w:bCs/>
        </w:rPr>
        <w:t>Per-Function Scaling</w:t>
      </w:r>
      <w:r w:rsidRPr="00990C7F">
        <w:t>: Each function is scaled independently. For example, if you have multiple functions in a function app, Azure will scale each based on its specific demand.</w:t>
      </w:r>
    </w:p>
    <w:p w14:paraId="1F7D9528" w14:textId="77777777" w:rsidR="00B562BE" w:rsidRDefault="00B562BE" w:rsidP="00B562BE"/>
    <w:p w14:paraId="0F224C59" w14:textId="77777777" w:rsidR="00B36DAA" w:rsidRPr="00B36DAA" w:rsidRDefault="00B36DAA" w:rsidP="00B36DAA">
      <w:pPr>
        <w:rPr>
          <w:b/>
          <w:bCs/>
        </w:rPr>
      </w:pPr>
      <w:r w:rsidRPr="00B36DAA">
        <w:rPr>
          <w:b/>
          <w:bCs/>
        </w:rPr>
        <w:t>2. Premium and Dedicated (App Service) Plans: More Control</w:t>
      </w:r>
    </w:p>
    <w:p w14:paraId="31D79BD8" w14:textId="77777777" w:rsidR="00B36DAA" w:rsidRPr="00B36DAA" w:rsidRDefault="00B36DAA" w:rsidP="00B36DAA">
      <w:r w:rsidRPr="00B36DAA">
        <w:t>For scenarios where cold starts are a concern, or you require more control over scaling, Azure Functions also offers </w:t>
      </w:r>
      <w:r w:rsidRPr="00B36DAA">
        <w:rPr>
          <w:b/>
          <w:bCs/>
        </w:rPr>
        <w:t>Premium</w:t>
      </w:r>
      <w:r w:rsidRPr="00B36DAA">
        <w:t> and </w:t>
      </w:r>
      <w:r w:rsidRPr="00B36DAA">
        <w:rPr>
          <w:b/>
          <w:bCs/>
        </w:rPr>
        <w:t>Dedicated Plans</w:t>
      </w:r>
      <w:r w:rsidRPr="00B36DAA">
        <w:t>:</w:t>
      </w:r>
    </w:p>
    <w:p w14:paraId="37827912" w14:textId="77777777" w:rsidR="00B36DAA" w:rsidRPr="00B36DAA" w:rsidRDefault="00B36DAA" w:rsidP="00B36DAA">
      <w:pPr>
        <w:numPr>
          <w:ilvl w:val="0"/>
          <w:numId w:val="3"/>
        </w:numPr>
      </w:pPr>
      <w:r w:rsidRPr="00B36DAA">
        <w:rPr>
          <w:b/>
          <w:bCs/>
        </w:rPr>
        <w:t>Always-On Instances</w:t>
      </w:r>
      <w:r w:rsidRPr="00B36DAA">
        <w:t>: In these plans, you can configure “always-on” instances to avoid cold starts. This ensures that at least one container is always available to serve requests immediately.</w:t>
      </w:r>
    </w:p>
    <w:p w14:paraId="236B8BF2" w14:textId="77777777" w:rsidR="00B36DAA" w:rsidRPr="00B36DAA" w:rsidRDefault="00B36DAA" w:rsidP="00B36DAA">
      <w:pPr>
        <w:numPr>
          <w:ilvl w:val="0"/>
          <w:numId w:val="3"/>
        </w:numPr>
      </w:pPr>
      <w:r w:rsidRPr="00B36DAA">
        <w:rPr>
          <w:b/>
          <w:bCs/>
        </w:rPr>
        <w:t>Manual Scaling</w:t>
      </w:r>
      <w:r w:rsidRPr="00B36DAA">
        <w:t>: These plans provide more control over scaling, allowing you to pre-provision resources and define how many instances you want running at any given time.</w:t>
      </w:r>
    </w:p>
    <w:p w14:paraId="6FE485AC" w14:textId="77777777" w:rsidR="00B36DAA" w:rsidRPr="00B36DAA" w:rsidRDefault="00B36DAA" w:rsidP="00B36DAA">
      <w:pPr>
        <w:rPr>
          <w:b/>
          <w:bCs/>
        </w:rPr>
      </w:pPr>
      <w:r w:rsidRPr="00B36DAA">
        <w:rPr>
          <w:b/>
          <w:bCs/>
        </w:rPr>
        <w:t>Docker and Kubernetes Behind Azure Functions</w:t>
      </w:r>
    </w:p>
    <w:p w14:paraId="2CE9119E" w14:textId="77777777" w:rsidR="00B36DAA" w:rsidRPr="00B36DAA" w:rsidRDefault="00B36DAA" w:rsidP="00B36DAA">
      <w:r w:rsidRPr="00B36DAA">
        <w:t>Now that we understand provisioning and scaling, let’s explore the technologies that power Azure Functions behind the scenes: </w:t>
      </w:r>
      <w:r w:rsidRPr="00B36DAA">
        <w:rPr>
          <w:b/>
          <w:bCs/>
        </w:rPr>
        <w:t>Docker</w:t>
      </w:r>
      <w:r w:rsidRPr="00B36DAA">
        <w:t> and </w:t>
      </w:r>
      <w:r w:rsidRPr="00B36DAA">
        <w:rPr>
          <w:b/>
          <w:bCs/>
        </w:rPr>
        <w:t>Kubernetes</w:t>
      </w:r>
      <w:r w:rsidRPr="00B36DAA">
        <w:t>.</w:t>
      </w:r>
    </w:p>
    <w:p w14:paraId="0455B73D" w14:textId="77777777" w:rsidR="00B36DAA" w:rsidRPr="00B36DAA" w:rsidRDefault="00B36DAA" w:rsidP="00B36DAA">
      <w:pPr>
        <w:rPr>
          <w:b/>
          <w:bCs/>
        </w:rPr>
      </w:pPr>
      <w:r w:rsidRPr="00B36DAA">
        <w:rPr>
          <w:b/>
          <w:bCs/>
        </w:rPr>
        <w:t>1. Docker: Containerization of Azure Functions</w:t>
      </w:r>
    </w:p>
    <w:p w14:paraId="676354A8" w14:textId="77777777" w:rsidR="00B36DAA" w:rsidRPr="00B36DAA" w:rsidRDefault="00B36DAA" w:rsidP="00B36DAA">
      <w:r w:rsidRPr="00B36DAA">
        <w:t>Under the hood, Azure Functions leverages </w:t>
      </w:r>
      <w:r w:rsidRPr="00B36DAA">
        <w:rPr>
          <w:b/>
          <w:bCs/>
        </w:rPr>
        <w:t>Docker</w:t>
      </w:r>
      <w:r w:rsidRPr="00B36DAA">
        <w:t> to provide isolated, portable environments for function execution. Each function is packaged as a Docker container, ensuring the runtime environment is consistent across deployments.</w:t>
      </w:r>
    </w:p>
    <w:p w14:paraId="68B3A565" w14:textId="77777777" w:rsidR="00B36DAA" w:rsidRPr="00B36DAA" w:rsidRDefault="00B36DAA" w:rsidP="00B36DAA">
      <w:pPr>
        <w:numPr>
          <w:ilvl w:val="0"/>
          <w:numId w:val="4"/>
        </w:numPr>
      </w:pPr>
      <w:r w:rsidRPr="00B36DAA">
        <w:rPr>
          <w:b/>
          <w:bCs/>
        </w:rPr>
        <w:lastRenderedPageBreak/>
        <w:t>Docker Containers</w:t>
      </w:r>
      <w:r w:rsidRPr="00B36DAA">
        <w:t>: When you deploy a function, Azure packages it along with the necessary runtime (e.g., .NET, Node.js, Python) and dependencies into a Docker container. This container provides isolation, making sure your function runs independently from other workloads.</w:t>
      </w:r>
    </w:p>
    <w:p w14:paraId="4EDCF0E7" w14:textId="77777777" w:rsidR="00B36DAA" w:rsidRPr="00B36DAA" w:rsidRDefault="00B36DAA" w:rsidP="00B36DAA">
      <w:pPr>
        <w:numPr>
          <w:ilvl w:val="0"/>
          <w:numId w:val="4"/>
        </w:numPr>
      </w:pPr>
      <w:r w:rsidRPr="00B36DAA">
        <w:rPr>
          <w:b/>
          <w:bCs/>
        </w:rPr>
        <w:t>Managed by Azure</w:t>
      </w:r>
      <w:r w:rsidRPr="00B36DAA">
        <w:t>: In most cases, Azure handles the entire lifecycle of these containers, including provisioning, scaling, and tearing them down when they’re no longer needed.</w:t>
      </w:r>
    </w:p>
    <w:p w14:paraId="0D12A643" w14:textId="77777777" w:rsidR="00B36DAA" w:rsidRPr="00B36DAA" w:rsidRDefault="00B36DAA" w:rsidP="00B36DAA">
      <w:pPr>
        <w:rPr>
          <w:b/>
          <w:bCs/>
        </w:rPr>
      </w:pPr>
      <w:r w:rsidRPr="00B36DAA">
        <w:rPr>
          <w:b/>
          <w:bCs/>
        </w:rPr>
        <w:t>2. Kubernetes: Orchestration in Advanced Scenarios</w:t>
      </w:r>
    </w:p>
    <w:p w14:paraId="1F8111BD" w14:textId="77777777" w:rsidR="00B36DAA" w:rsidRPr="00B36DAA" w:rsidRDefault="00B36DAA" w:rsidP="00B36DAA">
      <w:r w:rsidRPr="00B36DAA">
        <w:t>While Docker containers handle the execution of functions, </w:t>
      </w:r>
      <w:r w:rsidRPr="00B36DAA">
        <w:rPr>
          <w:b/>
          <w:bCs/>
        </w:rPr>
        <w:t>Kubernetes</w:t>
      </w:r>
      <w:r w:rsidRPr="00B36DAA">
        <w:t> (or Kubernetes-like orchestration) is used in more advanced scenarios for orchestrating these containers. Although not directly exposed in the default consumption plan, Kubernetes is involved in certain deployment environments:</w:t>
      </w:r>
    </w:p>
    <w:p w14:paraId="35923862" w14:textId="77777777" w:rsidR="00B36DAA" w:rsidRPr="00B36DAA" w:rsidRDefault="00B36DAA" w:rsidP="00B36DAA">
      <w:pPr>
        <w:numPr>
          <w:ilvl w:val="0"/>
          <w:numId w:val="5"/>
        </w:numPr>
      </w:pPr>
      <w:r w:rsidRPr="00B36DAA">
        <w:rPr>
          <w:b/>
          <w:bCs/>
        </w:rPr>
        <w:t>Azure Functions on Kubernetes (KEDA)</w:t>
      </w:r>
      <w:r w:rsidRPr="00B36DAA">
        <w:t>: For more advanced deployments, such as running Azure Functions on </w:t>
      </w:r>
      <w:r w:rsidRPr="00B36DAA">
        <w:rPr>
          <w:b/>
          <w:bCs/>
        </w:rPr>
        <w:t>Azure Kubernetes Service (AKS)</w:t>
      </w:r>
      <w:r w:rsidRPr="00B36DAA">
        <w:t> or </w:t>
      </w:r>
      <w:r w:rsidRPr="00B36DAA">
        <w:rPr>
          <w:b/>
          <w:bCs/>
        </w:rPr>
        <w:t>Azure Arc-enabled Kubernetes</w:t>
      </w:r>
      <w:r w:rsidRPr="00B36DAA">
        <w:t>, </w:t>
      </w:r>
      <w:r w:rsidRPr="00B36DAA">
        <w:rPr>
          <w:b/>
          <w:bCs/>
        </w:rPr>
        <w:t>KEDA</w:t>
      </w:r>
      <w:r w:rsidRPr="00B36DAA">
        <w:t xml:space="preserve"> (Kubernetes-based Event-Driven </w:t>
      </w:r>
      <w:proofErr w:type="spellStart"/>
      <w:r w:rsidRPr="00B36DAA">
        <w:t>Autoscaler</w:t>
      </w:r>
      <w:proofErr w:type="spellEnd"/>
      <w:r w:rsidRPr="00B36DAA">
        <w:t>) is used. KEDA allows Kubernetes to scale function containers based on external event triggers (e.g., messages in a queue or HTTP traffic).</w:t>
      </w:r>
    </w:p>
    <w:p w14:paraId="4589CE55" w14:textId="77777777" w:rsidR="00B36DAA" w:rsidRPr="00B36DAA" w:rsidRDefault="00B36DAA" w:rsidP="00B36DAA">
      <w:pPr>
        <w:numPr>
          <w:ilvl w:val="0"/>
          <w:numId w:val="5"/>
        </w:numPr>
      </w:pPr>
      <w:r w:rsidRPr="00B36DAA">
        <w:rPr>
          <w:b/>
          <w:bCs/>
        </w:rPr>
        <w:t>KEDA</w:t>
      </w:r>
      <w:r w:rsidRPr="00B36DAA">
        <w:t>: KEDA allows for automatic scaling of function pods (containers in Kubernetes) based on event triggers, such as HTTP requests, queue messages, or database changes. It ensures the Kubernetes cluster dynamically adjusts the number of running function instances in response to load.</w:t>
      </w:r>
    </w:p>
    <w:p w14:paraId="52BD7EB3" w14:textId="77777777" w:rsidR="00B36DAA" w:rsidRPr="00B36DAA" w:rsidRDefault="00B36DAA" w:rsidP="00B36DAA">
      <w:pPr>
        <w:numPr>
          <w:ilvl w:val="0"/>
          <w:numId w:val="5"/>
        </w:numPr>
      </w:pPr>
      <w:r w:rsidRPr="00B36DAA">
        <w:rPr>
          <w:b/>
          <w:bCs/>
        </w:rPr>
        <w:t>Azure Arc</w:t>
      </w:r>
      <w:r w:rsidRPr="00B36DAA">
        <w:t>: Azure Functions can be extended to </w:t>
      </w:r>
      <w:r w:rsidRPr="00B36DAA">
        <w:rPr>
          <w:b/>
          <w:bCs/>
        </w:rPr>
        <w:t>on-premises or multi-cloud environments</w:t>
      </w:r>
      <w:r w:rsidRPr="00B36DAA">
        <w:t> using </w:t>
      </w:r>
      <w:r w:rsidRPr="00B36DAA">
        <w:rPr>
          <w:b/>
          <w:bCs/>
        </w:rPr>
        <w:t>Azure Arc-enabled Kubernetes</w:t>
      </w:r>
      <w:r w:rsidRPr="00B36DAA">
        <w:t>. In these environments, Kubernetes handles orchestration, while Azure Functions provides the serverless execution model on top of the cluster.</w:t>
      </w:r>
    </w:p>
    <w:p w14:paraId="7E3574C4" w14:textId="77777777" w:rsidR="00B36DAA" w:rsidRDefault="00B36DAA" w:rsidP="00B562BE"/>
    <w:p w14:paraId="05AA91D5" w14:textId="428F2911" w:rsidR="00D31C64" w:rsidRDefault="00D31C64" w:rsidP="00D31C64">
      <w:pPr>
        <w:pStyle w:val="ListParagraph"/>
        <w:numPr>
          <w:ilvl w:val="0"/>
          <w:numId w:val="1"/>
        </w:numPr>
      </w:pPr>
      <w:r>
        <w:t>Cosmos DB</w:t>
      </w:r>
    </w:p>
    <w:p w14:paraId="4136C3FE" w14:textId="77777777" w:rsidR="00D31C64" w:rsidRDefault="00D31C64" w:rsidP="00D31C64"/>
    <w:p w14:paraId="7533259C" w14:textId="77777777" w:rsidR="00312AF2" w:rsidRDefault="00312AF2" w:rsidP="00D31C64"/>
    <w:p w14:paraId="50627022" w14:textId="77777777" w:rsidR="00312AF2" w:rsidRPr="00312AF2" w:rsidRDefault="00312AF2" w:rsidP="00312AF2">
      <w:r w:rsidRPr="00312AF2">
        <w:t>Azure Cosmos DB works with scaling throughput in two ways: provisioned throughput, which is used in the demo, and serverless.</w:t>
      </w:r>
    </w:p>
    <w:p w14:paraId="6B749BAB" w14:textId="77777777" w:rsidR="00312AF2" w:rsidRPr="00312AF2" w:rsidRDefault="00312AF2" w:rsidP="00312AF2">
      <w:r w:rsidRPr="00312AF2">
        <w:t>At the time that you create your database, you must decide whether to use provisioned throughput or serverless scaling.</w:t>
      </w:r>
    </w:p>
    <w:p w14:paraId="404C4E0E" w14:textId="4C2DD3DF" w:rsidR="00312AF2" w:rsidRDefault="00312AF2" w:rsidP="00D31C64">
      <w:r>
        <w:rPr>
          <w:noProof/>
        </w:rPr>
        <w:lastRenderedPageBreak/>
        <w:drawing>
          <wp:inline distT="0" distB="0" distL="0" distR="0" wp14:anchorId="4C981BD2" wp14:editId="33B89B62">
            <wp:extent cx="3689350" cy="4572000"/>
            <wp:effectExtent l="0" t="0" r="6350" b="0"/>
            <wp:docPr id="83026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350" cy="4572000"/>
                    </a:xfrm>
                    <a:prstGeom prst="rect">
                      <a:avLst/>
                    </a:prstGeom>
                    <a:noFill/>
                    <a:ln>
                      <a:noFill/>
                    </a:ln>
                  </pic:spPr>
                </pic:pic>
              </a:graphicData>
            </a:graphic>
          </wp:inline>
        </w:drawing>
      </w:r>
    </w:p>
    <w:p w14:paraId="02858CE0" w14:textId="77777777" w:rsidR="007D691A" w:rsidRDefault="007D691A" w:rsidP="00D31C64"/>
    <w:p w14:paraId="62D79F83" w14:textId="18BFE9C4" w:rsidR="007D691A" w:rsidRDefault="007D691A" w:rsidP="007D691A">
      <w:pPr>
        <w:pStyle w:val="ListParagraph"/>
        <w:numPr>
          <w:ilvl w:val="0"/>
          <w:numId w:val="1"/>
        </w:numPr>
      </w:pPr>
      <w:r>
        <w:t>Blob Storage</w:t>
      </w:r>
    </w:p>
    <w:p w14:paraId="2D3B9AF8" w14:textId="77777777" w:rsidR="007D691A" w:rsidRDefault="007D691A" w:rsidP="007D691A"/>
    <w:p w14:paraId="14092FA8" w14:textId="11F7B360" w:rsidR="00EA59C1" w:rsidRDefault="00EA59C1" w:rsidP="007D691A">
      <w:r w:rsidRPr="00EA59C1">
        <w:t>Azure Blob Storage automatically scales to accommodate increasing data storage needs, with a limit of 5 PiB per storage account. To optimize performance and cost, consider factors like blob size, access tiers, and using a GPv2 storage account. For specific capacity or ingress limit increases beyond the default, contact Azure Support. </w:t>
      </w:r>
    </w:p>
    <w:p w14:paraId="7D9AA9FE" w14:textId="77777777" w:rsidR="007D691A" w:rsidRPr="007D691A" w:rsidRDefault="007D691A" w:rsidP="007D691A">
      <w:r w:rsidRPr="007D691A">
        <w:t>Scaling Up Blob Storage:</w:t>
      </w:r>
    </w:p>
    <w:p w14:paraId="31786FB5" w14:textId="77777777" w:rsidR="007D691A" w:rsidRPr="007D691A" w:rsidRDefault="007D691A" w:rsidP="007D691A">
      <w:pPr>
        <w:numPr>
          <w:ilvl w:val="1"/>
          <w:numId w:val="6"/>
        </w:numPr>
      </w:pPr>
      <w:r w:rsidRPr="007D691A">
        <w:rPr>
          <w:b/>
          <w:bCs/>
        </w:rPr>
        <w:t>Automatic Scaling:</w:t>
      </w:r>
    </w:p>
    <w:p w14:paraId="74624519" w14:textId="77777777" w:rsidR="007D691A" w:rsidRPr="007D691A" w:rsidRDefault="007D691A" w:rsidP="007D691A">
      <w:r w:rsidRPr="007D691A">
        <w:t>Azure Blob Storage is designed to scale automatically to meet your storage needs, with a limit of 5 PiB per storage account. </w:t>
      </w:r>
    </w:p>
    <w:p w14:paraId="7901C1D2" w14:textId="77777777" w:rsidR="007D691A" w:rsidRPr="007D691A" w:rsidRDefault="007D691A" w:rsidP="007D691A">
      <w:pPr>
        <w:numPr>
          <w:ilvl w:val="1"/>
          <w:numId w:val="6"/>
        </w:numPr>
      </w:pPr>
      <w:r w:rsidRPr="007D691A">
        <w:rPr>
          <w:b/>
          <w:bCs/>
        </w:rPr>
        <w:t>No Provisioning:</w:t>
      </w:r>
    </w:p>
    <w:p w14:paraId="53758B4D" w14:textId="77777777" w:rsidR="007D691A" w:rsidRDefault="007D691A" w:rsidP="007D691A">
      <w:r w:rsidRPr="007D691A">
        <w:t>You don't need to pre-provision the size of your container; it scales as needed. </w:t>
      </w:r>
    </w:p>
    <w:p w14:paraId="4B8B7778" w14:textId="77777777" w:rsidR="00BB01F0" w:rsidRDefault="00BB01F0" w:rsidP="007D691A"/>
    <w:p w14:paraId="1A9D74BD" w14:textId="77777777" w:rsidR="00BB01F0" w:rsidRDefault="00BB01F0" w:rsidP="007D691A"/>
    <w:p w14:paraId="288D0577" w14:textId="77777777" w:rsidR="00BB01F0" w:rsidRDefault="00BB01F0" w:rsidP="007D691A"/>
    <w:p w14:paraId="2DC7B02F" w14:textId="77777777" w:rsidR="00BB01F0" w:rsidRDefault="00BB01F0" w:rsidP="007D691A"/>
    <w:p w14:paraId="41ED3DB2" w14:textId="45176698" w:rsidR="00BB01F0" w:rsidRDefault="00BB01F0" w:rsidP="007D691A">
      <w:r>
        <w:t>Service Bus Scaling</w:t>
      </w:r>
    </w:p>
    <w:p w14:paraId="5B64F681" w14:textId="77777777" w:rsidR="006C0F6C" w:rsidRDefault="006C0F6C" w:rsidP="007D691A"/>
    <w:p w14:paraId="11E60D12" w14:textId="77777777" w:rsidR="006C0F6C" w:rsidRPr="006C0F6C" w:rsidRDefault="006C0F6C" w:rsidP="006C0F6C">
      <w:pPr>
        <w:numPr>
          <w:ilvl w:val="0"/>
          <w:numId w:val="7"/>
        </w:numPr>
      </w:pPr>
      <w:r w:rsidRPr="006C0F6C">
        <w:t>Sign in to the </w:t>
      </w:r>
      <w:hyperlink r:id="rId7" w:history="1">
        <w:r w:rsidRPr="006C0F6C">
          <w:rPr>
            <w:rStyle w:val="Hyperlink"/>
          </w:rPr>
          <w:t>Azure portal</w:t>
        </w:r>
      </w:hyperlink>
      <w:r w:rsidRPr="006C0F6C">
        <w:t>.</w:t>
      </w:r>
    </w:p>
    <w:p w14:paraId="41901AD2" w14:textId="77777777" w:rsidR="006C0F6C" w:rsidRPr="006C0F6C" w:rsidRDefault="006C0F6C" w:rsidP="006C0F6C">
      <w:pPr>
        <w:numPr>
          <w:ilvl w:val="0"/>
          <w:numId w:val="7"/>
        </w:numPr>
      </w:pPr>
      <w:r w:rsidRPr="006C0F6C">
        <w:t>In the search bar, type </w:t>
      </w:r>
      <w:r w:rsidRPr="006C0F6C">
        <w:rPr>
          <w:b/>
          <w:bCs/>
        </w:rPr>
        <w:t>Service Bus</w:t>
      </w:r>
      <w:r w:rsidRPr="006C0F6C">
        <w:t>, select </w:t>
      </w:r>
      <w:r w:rsidRPr="006C0F6C">
        <w:rPr>
          <w:b/>
          <w:bCs/>
        </w:rPr>
        <w:t>Service Bus</w:t>
      </w:r>
      <w:r w:rsidRPr="006C0F6C">
        <w:t> from the drop-down list, and press </w:t>
      </w:r>
      <w:r w:rsidRPr="006C0F6C">
        <w:rPr>
          <w:b/>
          <w:bCs/>
        </w:rPr>
        <w:t>ENTER</w:t>
      </w:r>
      <w:r w:rsidRPr="006C0F6C">
        <w:t>.</w:t>
      </w:r>
    </w:p>
    <w:p w14:paraId="5061B55E" w14:textId="77777777" w:rsidR="006C0F6C" w:rsidRPr="006C0F6C" w:rsidRDefault="006C0F6C" w:rsidP="006C0F6C">
      <w:pPr>
        <w:numPr>
          <w:ilvl w:val="0"/>
          <w:numId w:val="7"/>
        </w:numPr>
      </w:pPr>
      <w:r w:rsidRPr="006C0F6C">
        <w:t>Select your </w:t>
      </w:r>
      <w:r w:rsidRPr="006C0F6C">
        <w:rPr>
          <w:b/>
          <w:bCs/>
        </w:rPr>
        <w:t>premium namespace</w:t>
      </w:r>
      <w:r w:rsidRPr="006C0F6C">
        <w:t> from the list of namespaces.</w:t>
      </w:r>
    </w:p>
    <w:p w14:paraId="4F77B123" w14:textId="77777777" w:rsidR="006C0F6C" w:rsidRPr="006C0F6C" w:rsidRDefault="006C0F6C" w:rsidP="006C0F6C">
      <w:pPr>
        <w:numPr>
          <w:ilvl w:val="0"/>
          <w:numId w:val="7"/>
        </w:numPr>
      </w:pPr>
      <w:r w:rsidRPr="006C0F6C">
        <w:t>Switch to the </w:t>
      </w:r>
      <w:r w:rsidRPr="006C0F6C">
        <w:rPr>
          <w:b/>
          <w:bCs/>
        </w:rPr>
        <w:t>Scale</w:t>
      </w:r>
      <w:r w:rsidRPr="006C0F6C">
        <w:t> page.</w:t>
      </w:r>
    </w:p>
    <w:p w14:paraId="3DD36B53" w14:textId="03660592" w:rsidR="006C0F6C" w:rsidRPr="006C0F6C" w:rsidRDefault="006C0F6C" w:rsidP="006C0F6C">
      <w:r w:rsidRPr="006C0F6C">
        <w:drawing>
          <wp:inline distT="0" distB="0" distL="0" distR="0" wp14:anchorId="10EC77E3" wp14:editId="6B9D0F6F">
            <wp:extent cx="5731510" cy="2840355"/>
            <wp:effectExtent l="0" t="0" r="2540" b="0"/>
            <wp:docPr id="1793256193" name="Picture 5" descr="Service Bus Namespace - Sca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vice Bus Namespace - Scale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40355"/>
                    </a:xfrm>
                    <a:prstGeom prst="rect">
                      <a:avLst/>
                    </a:prstGeom>
                    <a:noFill/>
                    <a:ln>
                      <a:noFill/>
                    </a:ln>
                  </pic:spPr>
                </pic:pic>
              </a:graphicData>
            </a:graphic>
          </wp:inline>
        </w:drawing>
      </w:r>
    </w:p>
    <w:p w14:paraId="72C9204C" w14:textId="77777777" w:rsidR="006C0F6C" w:rsidRPr="006C0F6C" w:rsidRDefault="006C0F6C" w:rsidP="006C0F6C">
      <w:pPr>
        <w:rPr>
          <w:b/>
          <w:bCs/>
        </w:rPr>
      </w:pPr>
      <w:r w:rsidRPr="006C0F6C">
        <w:rPr>
          <w:b/>
          <w:bCs/>
        </w:rPr>
        <w:t>Manual scale</w:t>
      </w:r>
    </w:p>
    <w:p w14:paraId="28E8F8F3" w14:textId="77777777" w:rsidR="006C0F6C" w:rsidRPr="006C0F6C" w:rsidRDefault="006C0F6C" w:rsidP="006C0F6C">
      <w:r w:rsidRPr="006C0F6C">
        <w:t>This setting allows you to set a fixed number of messaging units for the namespace.</w:t>
      </w:r>
    </w:p>
    <w:p w14:paraId="0CA34724" w14:textId="77777777" w:rsidR="006C0F6C" w:rsidRPr="006C0F6C" w:rsidRDefault="006C0F6C" w:rsidP="006C0F6C">
      <w:pPr>
        <w:numPr>
          <w:ilvl w:val="0"/>
          <w:numId w:val="8"/>
        </w:numPr>
      </w:pPr>
      <w:r w:rsidRPr="006C0F6C">
        <w:t>On the </w:t>
      </w:r>
      <w:proofErr w:type="spellStart"/>
      <w:r w:rsidRPr="006C0F6C">
        <w:rPr>
          <w:b/>
          <w:bCs/>
        </w:rPr>
        <w:t>Autoscale</w:t>
      </w:r>
      <w:proofErr w:type="spellEnd"/>
      <w:r w:rsidRPr="006C0F6C">
        <w:rPr>
          <w:b/>
          <w:bCs/>
        </w:rPr>
        <w:t xml:space="preserve"> setting</w:t>
      </w:r>
      <w:r w:rsidRPr="006C0F6C">
        <w:t> page, select </w:t>
      </w:r>
      <w:r w:rsidRPr="006C0F6C">
        <w:rPr>
          <w:b/>
          <w:bCs/>
        </w:rPr>
        <w:t>Manual scale</w:t>
      </w:r>
      <w:r w:rsidRPr="006C0F6C">
        <w:t> if it isn't already selected.</w:t>
      </w:r>
    </w:p>
    <w:p w14:paraId="6EECE0C7" w14:textId="77777777" w:rsidR="006C0F6C" w:rsidRPr="006C0F6C" w:rsidRDefault="006C0F6C" w:rsidP="006C0F6C">
      <w:pPr>
        <w:numPr>
          <w:ilvl w:val="0"/>
          <w:numId w:val="8"/>
        </w:numPr>
      </w:pPr>
      <w:r w:rsidRPr="006C0F6C">
        <w:t>For </w:t>
      </w:r>
      <w:r w:rsidRPr="006C0F6C">
        <w:rPr>
          <w:b/>
          <w:bCs/>
        </w:rPr>
        <w:t>Messaging units</w:t>
      </w:r>
      <w:r w:rsidRPr="006C0F6C">
        <w:t> setting, select the number of messaging units from the drop-down list.</w:t>
      </w:r>
    </w:p>
    <w:p w14:paraId="1078350C" w14:textId="77777777" w:rsidR="006C0F6C" w:rsidRPr="006C0F6C" w:rsidRDefault="006C0F6C" w:rsidP="006C0F6C">
      <w:pPr>
        <w:numPr>
          <w:ilvl w:val="0"/>
          <w:numId w:val="8"/>
        </w:numPr>
      </w:pPr>
      <w:r w:rsidRPr="006C0F6C">
        <w:t>Select </w:t>
      </w:r>
      <w:r w:rsidRPr="006C0F6C">
        <w:rPr>
          <w:b/>
          <w:bCs/>
        </w:rPr>
        <w:t>Save</w:t>
      </w:r>
      <w:r w:rsidRPr="006C0F6C">
        <w:t> on the toolbar to save the setting.</w:t>
      </w:r>
    </w:p>
    <w:p w14:paraId="6E97BF7C" w14:textId="6BE791CD" w:rsidR="006C0F6C" w:rsidRPr="006C0F6C" w:rsidRDefault="006C0F6C" w:rsidP="006C0F6C">
      <w:r w:rsidRPr="006C0F6C">
        <w:lastRenderedPageBreak/>
        <w:drawing>
          <wp:inline distT="0" distB="0" distL="0" distR="0" wp14:anchorId="5ABFF9FC" wp14:editId="2D031FCC">
            <wp:extent cx="5731510" cy="3612515"/>
            <wp:effectExtent l="0" t="0" r="2540" b="6985"/>
            <wp:docPr id="598498562" name="Picture 4" descr="Manually scale messaging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ually scale messaging un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12515"/>
                    </a:xfrm>
                    <a:prstGeom prst="rect">
                      <a:avLst/>
                    </a:prstGeom>
                    <a:noFill/>
                    <a:ln>
                      <a:noFill/>
                    </a:ln>
                  </pic:spPr>
                </pic:pic>
              </a:graphicData>
            </a:graphic>
          </wp:inline>
        </w:drawing>
      </w:r>
    </w:p>
    <w:p w14:paraId="4E99E5BE" w14:textId="77777777" w:rsidR="006C0F6C" w:rsidRPr="006C0F6C" w:rsidRDefault="006C0F6C" w:rsidP="006C0F6C">
      <w:pPr>
        <w:rPr>
          <w:b/>
          <w:bCs/>
        </w:rPr>
      </w:pPr>
      <w:r w:rsidRPr="006C0F6C">
        <w:rPr>
          <w:b/>
          <w:bCs/>
        </w:rPr>
        <w:t xml:space="preserve">Custom </w:t>
      </w:r>
      <w:proofErr w:type="spellStart"/>
      <w:r w:rsidRPr="006C0F6C">
        <w:rPr>
          <w:b/>
          <w:bCs/>
        </w:rPr>
        <w:t>autoscale</w:t>
      </w:r>
      <w:proofErr w:type="spellEnd"/>
      <w:r w:rsidRPr="006C0F6C">
        <w:rPr>
          <w:b/>
          <w:bCs/>
        </w:rPr>
        <w:t xml:space="preserve"> - Default condition</w:t>
      </w:r>
    </w:p>
    <w:p w14:paraId="010F80DF" w14:textId="77777777" w:rsidR="006C0F6C" w:rsidRPr="006C0F6C" w:rsidRDefault="006C0F6C" w:rsidP="006C0F6C">
      <w:r w:rsidRPr="006C0F6C">
        <w:t>You can configure automatic scaling of messaging units by using conditions. This scale condition is executed when none of the other scale conditions match. You can set the default condition in one of the following ways:</w:t>
      </w:r>
    </w:p>
    <w:p w14:paraId="4ACF8C21" w14:textId="77777777" w:rsidR="006C0F6C" w:rsidRPr="006C0F6C" w:rsidRDefault="006C0F6C" w:rsidP="006C0F6C">
      <w:pPr>
        <w:numPr>
          <w:ilvl w:val="0"/>
          <w:numId w:val="9"/>
        </w:numPr>
      </w:pPr>
      <w:r w:rsidRPr="006C0F6C">
        <w:t>Scale based on a metric (such as CPU or memory usage)</w:t>
      </w:r>
    </w:p>
    <w:p w14:paraId="173FB2C5" w14:textId="77777777" w:rsidR="006C0F6C" w:rsidRPr="006C0F6C" w:rsidRDefault="006C0F6C" w:rsidP="006C0F6C">
      <w:pPr>
        <w:numPr>
          <w:ilvl w:val="0"/>
          <w:numId w:val="9"/>
        </w:numPr>
      </w:pPr>
      <w:r w:rsidRPr="006C0F6C">
        <w:t>Scale to specific number of messaging units</w:t>
      </w:r>
    </w:p>
    <w:p w14:paraId="163B9CC7" w14:textId="77777777" w:rsidR="006C0F6C" w:rsidRDefault="006C0F6C" w:rsidP="007D691A"/>
    <w:p w14:paraId="6D337A87" w14:textId="77777777" w:rsidR="00BB01F0" w:rsidRPr="007D691A" w:rsidRDefault="00BB01F0" w:rsidP="007D691A"/>
    <w:p w14:paraId="5F6DE61B" w14:textId="77777777" w:rsidR="007D691A" w:rsidRPr="007D691A" w:rsidRDefault="007D691A" w:rsidP="007D691A">
      <w:pPr>
        <w:numPr>
          <w:ilvl w:val="1"/>
          <w:numId w:val="6"/>
        </w:numPr>
      </w:pPr>
    </w:p>
    <w:p w14:paraId="145351B8" w14:textId="77777777" w:rsidR="007D691A" w:rsidRDefault="007D691A" w:rsidP="007D691A"/>
    <w:sectPr w:rsidR="007D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2C7"/>
    <w:multiLevelType w:val="multilevel"/>
    <w:tmpl w:val="0FB4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7505D"/>
    <w:multiLevelType w:val="hybridMultilevel"/>
    <w:tmpl w:val="35240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347DC0"/>
    <w:multiLevelType w:val="multilevel"/>
    <w:tmpl w:val="F426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0208F"/>
    <w:multiLevelType w:val="multilevel"/>
    <w:tmpl w:val="AF2E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8602F"/>
    <w:multiLevelType w:val="multilevel"/>
    <w:tmpl w:val="84A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D1E1B"/>
    <w:multiLevelType w:val="multilevel"/>
    <w:tmpl w:val="5BCE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77D93"/>
    <w:multiLevelType w:val="multilevel"/>
    <w:tmpl w:val="65F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F31F0"/>
    <w:multiLevelType w:val="multilevel"/>
    <w:tmpl w:val="F2A0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821D5"/>
    <w:multiLevelType w:val="multilevel"/>
    <w:tmpl w:val="6332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522621">
    <w:abstractNumId w:val="1"/>
  </w:num>
  <w:num w:numId="2" w16cid:durableId="1590966440">
    <w:abstractNumId w:val="0"/>
  </w:num>
  <w:num w:numId="3" w16cid:durableId="75133355">
    <w:abstractNumId w:val="4"/>
  </w:num>
  <w:num w:numId="4" w16cid:durableId="266741030">
    <w:abstractNumId w:val="8"/>
  </w:num>
  <w:num w:numId="5" w16cid:durableId="1282109817">
    <w:abstractNumId w:val="3"/>
  </w:num>
  <w:num w:numId="6" w16cid:durableId="963391025">
    <w:abstractNumId w:val="5"/>
  </w:num>
  <w:num w:numId="7" w16cid:durableId="1828857632">
    <w:abstractNumId w:val="2"/>
  </w:num>
  <w:num w:numId="8" w16cid:durableId="674844863">
    <w:abstractNumId w:val="7"/>
  </w:num>
  <w:num w:numId="9" w16cid:durableId="1137994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6D"/>
    <w:rsid w:val="002B30C6"/>
    <w:rsid w:val="00312AF2"/>
    <w:rsid w:val="0069102B"/>
    <w:rsid w:val="006C0F6C"/>
    <w:rsid w:val="007D691A"/>
    <w:rsid w:val="0083356D"/>
    <w:rsid w:val="009568B3"/>
    <w:rsid w:val="00990C7F"/>
    <w:rsid w:val="00B36DAA"/>
    <w:rsid w:val="00B562BE"/>
    <w:rsid w:val="00BB01F0"/>
    <w:rsid w:val="00BE6FE0"/>
    <w:rsid w:val="00D31C64"/>
    <w:rsid w:val="00DD2BCC"/>
    <w:rsid w:val="00E329AE"/>
    <w:rsid w:val="00E717BC"/>
    <w:rsid w:val="00EA5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C03C"/>
  <w15:chartTrackingRefBased/>
  <w15:docId w15:val="{3043813D-4963-4661-A8A2-90A42000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5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35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35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35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35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3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35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35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35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35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3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56D"/>
    <w:rPr>
      <w:rFonts w:eastAsiaTheme="majorEastAsia" w:cstheme="majorBidi"/>
      <w:color w:val="272727" w:themeColor="text1" w:themeTint="D8"/>
    </w:rPr>
  </w:style>
  <w:style w:type="paragraph" w:styleId="Title">
    <w:name w:val="Title"/>
    <w:basedOn w:val="Normal"/>
    <w:next w:val="Normal"/>
    <w:link w:val="TitleChar"/>
    <w:uiPriority w:val="10"/>
    <w:qFormat/>
    <w:rsid w:val="00833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56D"/>
    <w:pPr>
      <w:spacing w:before="160"/>
      <w:jc w:val="center"/>
    </w:pPr>
    <w:rPr>
      <w:i/>
      <w:iCs/>
      <w:color w:val="404040" w:themeColor="text1" w:themeTint="BF"/>
    </w:rPr>
  </w:style>
  <w:style w:type="character" w:customStyle="1" w:styleId="QuoteChar">
    <w:name w:val="Quote Char"/>
    <w:basedOn w:val="DefaultParagraphFont"/>
    <w:link w:val="Quote"/>
    <w:uiPriority w:val="29"/>
    <w:rsid w:val="0083356D"/>
    <w:rPr>
      <w:i/>
      <w:iCs/>
      <w:color w:val="404040" w:themeColor="text1" w:themeTint="BF"/>
    </w:rPr>
  </w:style>
  <w:style w:type="paragraph" w:styleId="ListParagraph">
    <w:name w:val="List Paragraph"/>
    <w:basedOn w:val="Normal"/>
    <w:uiPriority w:val="34"/>
    <w:qFormat/>
    <w:rsid w:val="0083356D"/>
    <w:pPr>
      <w:ind w:left="720"/>
      <w:contextualSpacing/>
    </w:pPr>
  </w:style>
  <w:style w:type="character" w:styleId="IntenseEmphasis">
    <w:name w:val="Intense Emphasis"/>
    <w:basedOn w:val="DefaultParagraphFont"/>
    <w:uiPriority w:val="21"/>
    <w:qFormat/>
    <w:rsid w:val="0083356D"/>
    <w:rPr>
      <w:i/>
      <w:iCs/>
      <w:color w:val="2F5496" w:themeColor="accent1" w:themeShade="BF"/>
    </w:rPr>
  </w:style>
  <w:style w:type="paragraph" w:styleId="IntenseQuote">
    <w:name w:val="Intense Quote"/>
    <w:basedOn w:val="Normal"/>
    <w:next w:val="Normal"/>
    <w:link w:val="IntenseQuoteChar"/>
    <w:uiPriority w:val="30"/>
    <w:qFormat/>
    <w:rsid w:val="008335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356D"/>
    <w:rPr>
      <w:i/>
      <w:iCs/>
      <w:color w:val="2F5496" w:themeColor="accent1" w:themeShade="BF"/>
    </w:rPr>
  </w:style>
  <w:style w:type="character" w:styleId="IntenseReference">
    <w:name w:val="Intense Reference"/>
    <w:basedOn w:val="DefaultParagraphFont"/>
    <w:uiPriority w:val="32"/>
    <w:qFormat/>
    <w:rsid w:val="0083356D"/>
    <w:rPr>
      <w:b/>
      <w:bCs/>
      <w:smallCaps/>
      <w:color w:val="2F5496" w:themeColor="accent1" w:themeShade="BF"/>
      <w:spacing w:val="5"/>
    </w:rPr>
  </w:style>
  <w:style w:type="character" w:styleId="Hyperlink">
    <w:name w:val="Hyperlink"/>
    <w:basedOn w:val="DefaultParagraphFont"/>
    <w:uiPriority w:val="99"/>
    <w:unhideWhenUsed/>
    <w:rsid w:val="00990C7F"/>
    <w:rPr>
      <w:color w:val="0563C1" w:themeColor="hyperlink"/>
      <w:u w:val="single"/>
    </w:rPr>
  </w:style>
  <w:style w:type="character" w:styleId="UnresolvedMention">
    <w:name w:val="Unresolved Mention"/>
    <w:basedOn w:val="DefaultParagraphFont"/>
    <w:uiPriority w:val="99"/>
    <w:semiHidden/>
    <w:unhideWhenUsed/>
    <w:rsid w:val="00990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76810">
      <w:bodyDiv w:val="1"/>
      <w:marLeft w:val="0"/>
      <w:marRight w:val="0"/>
      <w:marTop w:val="0"/>
      <w:marBottom w:val="0"/>
      <w:divBdr>
        <w:top w:val="none" w:sz="0" w:space="0" w:color="auto"/>
        <w:left w:val="none" w:sz="0" w:space="0" w:color="auto"/>
        <w:bottom w:val="none" w:sz="0" w:space="0" w:color="auto"/>
        <w:right w:val="none" w:sz="0" w:space="0" w:color="auto"/>
      </w:divBdr>
    </w:div>
    <w:div w:id="355542006">
      <w:bodyDiv w:val="1"/>
      <w:marLeft w:val="0"/>
      <w:marRight w:val="0"/>
      <w:marTop w:val="0"/>
      <w:marBottom w:val="0"/>
      <w:divBdr>
        <w:top w:val="none" w:sz="0" w:space="0" w:color="auto"/>
        <w:left w:val="none" w:sz="0" w:space="0" w:color="auto"/>
        <w:bottom w:val="none" w:sz="0" w:space="0" w:color="auto"/>
        <w:right w:val="none" w:sz="0" w:space="0" w:color="auto"/>
      </w:divBdr>
    </w:div>
    <w:div w:id="399139145">
      <w:bodyDiv w:val="1"/>
      <w:marLeft w:val="0"/>
      <w:marRight w:val="0"/>
      <w:marTop w:val="0"/>
      <w:marBottom w:val="0"/>
      <w:divBdr>
        <w:top w:val="none" w:sz="0" w:space="0" w:color="auto"/>
        <w:left w:val="none" w:sz="0" w:space="0" w:color="auto"/>
        <w:bottom w:val="none" w:sz="0" w:space="0" w:color="auto"/>
        <w:right w:val="none" w:sz="0" w:space="0" w:color="auto"/>
      </w:divBdr>
      <w:divsChild>
        <w:div w:id="173305911">
          <w:marLeft w:val="0"/>
          <w:marRight w:val="0"/>
          <w:marTop w:val="0"/>
          <w:marBottom w:val="0"/>
          <w:divBdr>
            <w:top w:val="none" w:sz="0" w:space="0" w:color="auto"/>
            <w:left w:val="none" w:sz="0" w:space="0" w:color="auto"/>
            <w:bottom w:val="none" w:sz="0" w:space="0" w:color="auto"/>
            <w:right w:val="none" w:sz="0" w:space="0" w:color="auto"/>
          </w:divBdr>
          <w:divsChild>
            <w:div w:id="940531442">
              <w:marLeft w:val="0"/>
              <w:marRight w:val="0"/>
              <w:marTop w:val="0"/>
              <w:marBottom w:val="0"/>
              <w:divBdr>
                <w:top w:val="none" w:sz="0" w:space="0" w:color="auto"/>
                <w:left w:val="none" w:sz="0" w:space="0" w:color="auto"/>
                <w:bottom w:val="none" w:sz="0" w:space="0" w:color="auto"/>
                <w:right w:val="none" w:sz="0" w:space="0" w:color="auto"/>
              </w:divBdr>
              <w:divsChild>
                <w:div w:id="14003254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5234474">
          <w:marLeft w:val="0"/>
          <w:marRight w:val="0"/>
          <w:marTop w:val="0"/>
          <w:marBottom w:val="0"/>
          <w:divBdr>
            <w:top w:val="none" w:sz="0" w:space="0" w:color="auto"/>
            <w:left w:val="none" w:sz="0" w:space="0" w:color="auto"/>
            <w:bottom w:val="none" w:sz="0" w:space="0" w:color="auto"/>
            <w:right w:val="none" w:sz="0" w:space="0" w:color="auto"/>
          </w:divBdr>
          <w:divsChild>
            <w:div w:id="2140108453">
              <w:marLeft w:val="0"/>
              <w:marRight w:val="0"/>
              <w:marTop w:val="0"/>
              <w:marBottom w:val="0"/>
              <w:divBdr>
                <w:top w:val="none" w:sz="0" w:space="0" w:color="auto"/>
                <w:left w:val="none" w:sz="0" w:space="0" w:color="auto"/>
                <w:bottom w:val="none" w:sz="0" w:space="0" w:color="auto"/>
                <w:right w:val="none" w:sz="0" w:space="0" w:color="auto"/>
              </w:divBdr>
              <w:divsChild>
                <w:div w:id="1190297308">
                  <w:marLeft w:val="-420"/>
                  <w:marRight w:val="0"/>
                  <w:marTop w:val="0"/>
                  <w:marBottom w:val="0"/>
                  <w:divBdr>
                    <w:top w:val="none" w:sz="0" w:space="0" w:color="auto"/>
                    <w:left w:val="none" w:sz="0" w:space="0" w:color="auto"/>
                    <w:bottom w:val="none" w:sz="0" w:space="0" w:color="auto"/>
                    <w:right w:val="none" w:sz="0" w:space="0" w:color="auto"/>
                  </w:divBdr>
                  <w:divsChild>
                    <w:div w:id="2069037815">
                      <w:marLeft w:val="0"/>
                      <w:marRight w:val="0"/>
                      <w:marTop w:val="0"/>
                      <w:marBottom w:val="0"/>
                      <w:divBdr>
                        <w:top w:val="none" w:sz="0" w:space="0" w:color="auto"/>
                        <w:left w:val="none" w:sz="0" w:space="0" w:color="auto"/>
                        <w:bottom w:val="none" w:sz="0" w:space="0" w:color="auto"/>
                        <w:right w:val="none" w:sz="0" w:space="0" w:color="auto"/>
                      </w:divBdr>
                      <w:divsChild>
                        <w:div w:id="1296527885">
                          <w:marLeft w:val="0"/>
                          <w:marRight w:val="0"/>
                          <w:marTop w:val="0"/>
                          <w:marBottom w:val="0"/>
                          <w:divBdr>
                            <w:top w:val="none" w:sz="0" w:space="0" w:color="auto"/>
                            <w:left w:val="none" w:sz="0" w:space="0" w:color="auto"/>
                            <w:bottom w:val="none" w:sz="0" w:space="0" w:color="auto"/>
                            <w:right w:val="none" w:sz="0" w:space="0" w:color="auto"/>
                          </w:divBdr>
                          <w:divsChild>
                            <w:div w:id="91902962">
                              <w:marLeft w:val="0"/>
                              <w:marRight w:val="0"/>
                              <w:marTop w:val="0"/>
                              <w:marBottom w:val="0"/>
                              <w:divBdr>
                                <w:top w:val="none" w:sz="0" w:space="0" w:color="auto"/>
                                <w:left w:val="none" w:sz="0" w:space="0" w:color="auto"/>
                                <w:bottom w:val="none" w:sz="0" w:space="0" w:color="auto"/>
                                <w:right w:val="none" w:sz="0" w:space="0" w:color="auto"/>
                              </w:divBdr>
                            </w:div>
                            <w:div w:id="831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50393">
                  <w:marLeft w:val="-420"/>
                  <w:marRight w:val="0"/>
                  <w:marTop w:val="0"/>
                  <w:marBottom w:val="0"/>
                  <w:divBdr>
                    <w:top w:val="none" w:sz="0" w:space="0" w:color="auto"/>
                    <w:left w:val="none" w:sz="0" w:space="0" w:color="auto"/>
                    <w:bottom w:val="none" w:sz="0" w:space="0" w:color="auto"/>
                    <w:right w:val="none" w:sz="0" w:space="0" w:color="auto"/>
                  </w:divBdr>
                  <w:divsChild>
                    <w:div w:id="1404061282">
                      <w:marLeft w:val="0"/>
                      <w:marRight w:val="0"/>
                      <w:marTop w:val="0"/>
                      <w:marBottom w:val="0"/>
                      <w:divBdr>
                        <w:top w:val="none" w:sz="0" w:space="0" w:color="auto"/>
                        <w:left w:val="none" w:sz="0" w:space="0" w:color="auto"/>
                        <w:bottom w:val="none" w:sz="0" w:space="0" w:color="auto"/>
                        <w:right w:val="none" w:sz="0" w:space="0" w:color="auto"/>
                      </w:divBdr>
                      <w:divsChild>
                        <w:div w:id="1305355672">
                          <w:marLeft w:val="0"/>
                          <w:marRight w:val="0"/>
                          <w:marTop w:val="0"/>
                          <w:marBottom w:val="0"/>
                          <w:divBdr>
                            <w:top w:val="none" w:sz="0" w:space="0" w:color="auto"/>
                            <w:left w:val="none" w:sz="0" w:space="0" w:color="auto"/>
                            <w:bottom w:val="none" w:sz="0" w:space="0" w:color="auto"/>
                            <w:right w:val="none" w:sz="0" w:space="0" w:color="auto"/>
                          </w:divBdr>
                          <w:divsChild>
                            <w:div w:id="1983461490">
                              <w:marLeft w:val="0"/>
                              <w:marRight w:val="0"/>
                              <w:marTop w:val="0"/>
                              <w:marBottom w:val="0"/>
                              <w:divBdr>
                                <w:top w:val="none" w:sz="0" w:space="0" w:color="auto"/>
                                <w:left w:val="none" w:sz="0" w:space="0" w:color="auto"/>
                                <w:bottom w:val="none" w:sz="0" w:space="0" w:color="auto"/>
                                <w:right w:val="none" w:sz="0" w:space="0" w:color="auto"/>
                              </w:divBdr>
                            </w:div>
                            <w:div w:id="548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55385">
                  <w:marLeft w:val="-420"/>
                  <w:marRight w:val="0"/>
                  <w:marTop w:val="0"/>
                  <w:marBottom w:val="0"/>
                  <w:divBdr>
                    <w:top w:val="none" w:sz="0" w:space="0" w:color="auto"/>
                    <w:left w:val="none" w:sz="0" w:space="0" w:color="auto"/>
                    <w:bottom w:val="none" w:sz="0" w:space="0" w:color="auto"/>
                    <w:right w:val="none" w:sz="0" w:space="0" w:color="auto"/>
                  </w:divBdr>
                  <w:divsChild>
                    <w:div w:id="1154564255">
                      <w:marLeft w:val="0"/>
                      <w:marRight w:val="0"/>
                      <w:marTop w:val="0"/>
                      <w:marBottom w:val="0"/>
                      <w:divBdr>
                        <w:top w:val="none" w:sz="0" w:space="0" w:color="auto"/>
                        <w:left w:val="none" w:sz="0" w:space="0" w:color="auto"/>
                        <w:bottom w:val="none" w:sz="0" w:space="0" w:color="auto"/>
                        <w:right w:val="none" w:sz="0" w:space="0" w:color="auto"/>
                      </w:divBdr>
                      <w:divsChild>
                        <w:div w:id="58118502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900866">
      <w:bodyDiv w:val="1"/>
      <w:marLeft w:val="0"/>
      <w:marRight w:val="0"/>
      <w:marTop w:val="0"/>
      <w:marBottom w:val="0"/>
      <w:divBdr>
        <w:top w:val="none" w:sz="0" w:space="0" w:color="auto"/>
        <w:left w:val="none" w:sz="0" w:space="0" w:color="auto"/>
        <w:bottom w:val="none" w:sz="0" w:space="0" w:color="auto"/>
        <w:right w:val="none" w:sz="0" w:space="0" w:color="auto"/>
      </w:divBdr>
    </w:div>
    <w:div w:id="768164123">
      <w:bodyDiv w:val="1"/>
      <w:marLeft w:val="0"/>
      <w:marRight w:val="0"/>
      <w:marTop w:val="0"/>
      <w:marBottom w:val="0"/>
      <w:divBdr>
        <w:top w:val="none" w:sz="0" w:space="0" w:color="auto"/>
        <w:left w:val="none" w:sz="0" w:space="0" w:color="auto"/>
        <w:bottom w:val="none" w:sz="0" w:space="0" w:color="auto"/>
        <w:right w:val="none" w:sz="0" w:space="0" w:color="auto"/>
      </w:divBdr>
    </w:div>
    <w:div w:id="1322541558">
      <w:bodyDiv w:val="1"/>
      <w:marLeft w:val="0"/>
      <w:marRight w:val="0"/>
      <w:marTop w:val="0"/>
      <w:marBottom w:val="0"/>
      <w:divBdr>
        <w:top w:val="none" w:sz="0" w:space="0" w:color="auto"/>
        <w:left w:val="none" w:sz="0" w:space="0" w:color="auto"/>
        <w:bottom w:val="none" w:sz="0" w:space="0" w:color="auto"/>
        <w:right w:val="none" w:sz="0" w:space="0" w:color="auto"/>
      </w:divBdr>
    </w:div>
    <w:div w:id="1581326073">
      <w:bodyDiv w:val="1"/>
      <w:marLeft w:val="0"/>
      <w:marRight w:val="0"/>
      <w:marTop w:val="0"/>
      <w:marBottom w:val="0"/>
      <w:divBdr>
        <w:top w:val="none" w:sz="0" w:space="0" w:color="auto"/>
        <w:left w:val="none" w:sz="0" w:space="0" w:color="auto"/>
        <w:bottom w:val="none" w:sz="0" w:space="0" w:color="auto"/>
        <w:right w:val="none" w:sz="0" w:space="0" w:color="auto"/>
      </w:divBdr>
      <w:divsChild>
        <w:div w:id="1931084570">
          <w:marLeft w:val="0"/>
          <w:marRight w:val="0"/>
          <w:marTop w:val="0"/>
          <w:marBottom w:val="0"/>
          <w:divBdr>
            <w:top w:val="none" w:sz="0" w:space="0" w:color="auto"/>
            <w:left w:val="none" w:sz="0" w:space="0" w:color="auto"/>
            <w:bottom w:val="none" w:sz="0" w:space="0" w:color="auto"/>
            <w:right w:val="none" w:sz="0" w:space="0" w:color="auto"/>
          </w:divBdr>
        </w:div>
        <w:div w:id="1618364655">
          <w:marLeft w:val="0"/>
          <w:marRight w:val="0"/>
          <w:marTop w:val="0"/>
          <w:marBottom w:val="0"/>
          <w:divBdr>
            <w:top w:val="none" w:sz="0" w:space="0" w:color="auto"/>
            <w:left w:val="none" w:sz="0" w:space="0" w:color="auto"/>
            <w:bottom w:val="none" w:sz="0" w:space="0" w:color="auto"/>
            <w:right w:val="none" w:sz="0" w:space="0" w:color="auto"/>
          </w:divBdr>
        </w:div>
      </w:divsChild>
    </w:div>
    <w:div w:id="1660621700">
      <w:bodyDiv w:val="1"/>
      <w:marLeft w:val="0"/>
      <w:marRight w:val="0"/>
      <w:marTop w:val="0"/>
      <w:marBottom w:val="0"/>
      <w:divBdr>
        <w:top w:val="none" w:sz="0" w:space="0" w:color="auto"/>
        <w:left w:val="none" w:sz="0" w:space="0" w:color="auto"/>
        <w:bottom w:val="none" w:sz="0" w:space="0" w:color="auto"/>
        <w:right w:val="none" w:sz="0" w:space="0" w:color="auto"/>
      </w:divBdr>
      <w:divsChild>
        <w:div w:id="616760821">
          <w:marLeft w:val="0"/>
          <w:marRight w:val="0"/>
          <w:marTop w:val="0"/>
          <w:marBottom w:val="0"/>
          <w:divBdr>
            <w:top w:val="none" w:sz="0" w:space="0" w:color="auto"/>
            <w:left w:val="none" w:sz="0" w:space="0" w:color="auto"/>
            <w:bottom w:val="none" w:sz="0" w:space="0" w:color="auto"/>
            <w:right w:val="none" w:sz="0" w:space="0" w:color="auto"/>
          </w:divBdr>
        </w:div>
        <w:div w:id="1843423252">
          <w:marLeft w:val="0"/>
          <w:marRight w:val="0"/>
          <w:marTop w:val="0"/>
          <w:marBottom w:val="0"/>
          <w:divBdr>
            <w:top w:val="none" w:sz="0" w:space="0" w:color="auto"/>
            <w:left w:val="none" w:sz="0" w:space="0" w:color="auto"/>
            <w:bottom w:val="none" w:sz="0" w:space="0" w:color="auto"/>
            <w:right w:val="none" w:sz="0" w:space="0" w:color="auto"/>
          </w:divBdr>
        </w:div>
      </w:divsChild>
    </w:div>
    <w:div w:id="1771658949">
      <w:bodyDiv w:val="1"/>
      <w:marLeft w:val="0"/>
      <w:marRight w:val="0"/>
      <w:marTop w:val="0"/>
      <w:marBottom w:val="0"/>
      <w:divBdr>
        <w:top w:val="none" w:sz="0" w:space="0" w:color="auto"/>
        <w:left w:val="none" w:sz="0" w:space="0" w:color="auto"/>
        <w:bottom w:val="none" w:sz="0" w:space="0" w:color="auto"/>
        <w:right w:val="none" w:sz="0" w:space="0" w:color="auto"/>
      </w:divBdr>
    </w:div>
    <w:div w:id="2038462372">
      <w:bodyDiv w:val="1"/>
      <w:marLeft w:val="0"/>
      <w:marRight w:val="0"/>
      <w:marTop w:val="0"/>
      <w:marBottom w:val="0"/>
      <w:divBdr>
        <w:top w:val="none" w:sz="0" w:space="0" w:color="auto"/>
        <w:left w:val="none" w:sz="0" w:space="0" w:color="auto"/>
        <w:bottom w:val="none" w:sz="0" w:space="0" w:color="auto"/>
        <w:right w:val="none" w:sz="0" w:space="0" w:color="auto"/>
      </w:divBdr>
      <w:divsChild>
        <w:div w:id="1668248026">
          <w:marLeft w:val="0"/>
          <w:marRight w:val="0"/>
          <w:marTop w:val="0"/>
          <w:marBottom w:val="0"/>
          <w:divBdr>
            <w:top w:val="none" w:sz="0" w:space="0" w:color="auto"/>
            <w:left w:val="none" w:sz="0" w:space="0" w:color="auto"/>
            <w:bottom w:val="none" w:sz="0" w:space="0" w:color="auto"/>
            <w:right w:val="none" w:sz="0" w:space="0" w:color="auto"/>
          </w:divBdr>
          <w:divsChild>
            <w:div w:id="362824958">
              <w:marLeft w:val="0"/>
              <w:marRight w:val="0"/>
              <w:marTop w:val="0"/>
              <w:marBottom w:val="0"/>
              <w:divBdr>
                <w:top w:val="none" w:sz="0" w:space="0" w:color="auto"/>
                <w:left w:val="none" w:sz="0" w:space="0" w:color="auto"/>
                <w:bottom w:val="none" w:sz="0" w:space="0" w:color="auto"/>
                <w:right w:val="none" w:sz="0" w:space="0" w:color="auto"/>
              </w:divBdr>
              <w:divsChild>
                <w:div w:id="15501427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4753903">
          <w:marLeft w:val="0"/>
          <w:marRight w:val="0"/>
          <w:marTop w:val="0"/>
          <w:marBottom w:val="0"/>
          <w:divBdr>
            <w:top w:val="none" w:sz="0" w:space="0" w:color="auto"/>
            <w:left w:val="none" w:sz="0" w:space="0" w:color="auto"/>
            <w:bottom w:val="none" w:sz="0" w:space="0" w:color="auto"/>
            <w:right w:val="none" w:sz="0" w:space="0" w:color="auto"/>
          </w:divBdr>
          <w:divsChild>
            <w:div w:id="494034327">
              <w:marLeft w:val="0"/>
              <w:marRight w:val="0"/>
              <w:marTop w:val="0"/>
              <w:marBottom w:val="0"/>
              <w:divBdr>
                <w:top w:val="none" w:sz="0" w:space="0" w:color="auto"/>
                <w:left w:val="none" w:sz="0" w:space="0" w:color="auto"/>
                <w:bottom w:val="none" w:sz="0" w:space="0" w:color="auto"/>
                <w:right w:val="none" w:sz="0" w:space="0" w:color="auto"/>
              </w:divBdr>
              <w:divsChild>
                <w:div w:id="77333129">
                  <w:marLeft w:val="-420"/>
                  <w:marRight w:val="0"/>
                  <w:marTop w:val="0"/>
                  <w:marBottom w:val="0"/>
                  <w:divBdr>
                    <w:top w:val="none" w:sz="0" w:space="0" w:color="auto"/>
                    <w:left w:val="none" w:sz="0" w:space="0" w:color="auto"/>
                    <w:bottom w:val="none" w:sz="0" w:space="0" w:color="auto"/>
                    <w:right w:val="none" w:sz="0" w:space="0" w:color="auto"/>
                  </w:divBdr>
                  <w:divsChild>
                    <w:div w:id="1967269654">
                      <w:marLeft w:val="0"/>
                      <w:marRight w:val="0"/>
                      <w:marTop w:val="0"/>
                      <w:marBottom w:val="0"/>
                      <w:divBdr>
                        <w:top w:val="none" w:sz="0" w:space="0" w:color="auto"/>
                        <w:left w:val="none" w:sz="0" w:space="0" w:color="auto"/>
                        <w:bottom w:val="none" w:sz="0" w:space="0" w:color="auto"/>
                        <w:right w:val="none" w:sz="0" w:space="0" w:color="auto"/>
                      </w:divBdr>
                      <w:divsChild>
                        <w:div w:id="1767729593">
                          <w:marLeft w:val="0"/>
                          <w:marRight w:val="0"/>
                          <w:marTop w:val="0"/>
                          <w:marBottom w:val="0"/>
                          <w:divBdr>
                            <w:top w:val="none" w:sz="0" w:space="0" w:color="auto"/>
                            <w:left w:val="none" w:sz="0" w:space="0" w:color="auto"/>
                            <w:bottom w:val="none" w:sz="0" w:space="0" w:color="auto"/>
                            <w:right w:val="none" w:sz="0" w:space="0" w:color="auto"/>
                          </w:divBdr>
                          <w:divsChild>
                            <w:div w:id="1460880074">
                              <w:marLeft w:val="0"/>
                              <w:marRight w:val="0"/>
                              <w:marTop w:val="0"/>
                              <w:marBottom w:val="0"/>
                              <w:divBdr>
                                <w:top w:val="none" w:sz="0" w:space="0" w:color="auto"/>
                                <w:left w:val="none" w:sz="0" w:space="0" w:color="auto"/>
                                <w:bottom w:val="none" w:sz="0" w:space="0" w:color="auto"/>
                                <w:right w:val="none" w:sz="0" w:space="0" w:color="auto"/>
                              </w:divBdr>
                            </w:div>
                            <w:div w:id="12312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581">
                  <w:marLeft w:val="-420"/>
                  <w:marRight w:val="0"/>
                  <w:marTop w:val="0"/>
                  <w:marBottom w:val="0"/>
                  <w:divBdr>
                    <w:top w:val="none" w:sz="0" w:space="0" w:color="auto"/>
                    <w:left w:val="none" w:sz="0" w:space="0" w:color="auto"/>
                    <w:bottom w:val="none" w:sz="0" w:space="0" w:color="auto"/>
                    <w:right w:val="none" w:sz="0" w:space="0" w:color="auto"/>
                  </w:divBdr>
                  <w:divsChild>
                    <w:div w:id="2133478029">
                      <w:marLeft w:val="0"/>
                      <w:marRight w:val="0"/>
                      <w:marTop w:val="0"/>
                      <w:marBottom w:val="0"/>
                      <w:divBdr>
                        <w:top w:val="none" w:sz="0" w:space="0" w:color="auto"/>
                        <w:left w:val="none" w:sz="0" w:space="0" w:color="auto"/>
                        <w:bottom w:val="none" w:sz="0" w:space="0" w:color="auto"/>
                        <w:right w:val="none" w:sz="0" w:space="0" w:color="auto"/>
                      </w:divBdr>
                      <w:divsChild>
                        <w:div w:id="1427115476">
                          <w:marLeft w:val="0"/>
                          <w:marRight w:val="0"/>
                          <w:marTop w:val="0"/>
                          <w:marBottom w:val="0"/>
                          <w:divBdr>
                            <w:top w:val="none" w:sz="0" w:space="0" w:color="auto"/>
                            <w:left w:val="none" w:sz="0" w:space="0" w:color="auto"/>
                            <w:bottom w:val="none" w:sz="0" w:space="0" w:color="auto"/>
                            <w:right w:val="none" w:sz="0" w:space="0" w:color="auto"/>
                          </w:divBdr>
                          <w:divsChild>
                            <w:div w:id="1212571129">
                              <w:marLeft w:val="0"/>
                              <w:marRight w:val="0"/>
                              <w:marTop w:val="0"/>
                              <w:marBottom w:val="0"/>
                              <w:divBdr>
                                <w:top w:val="none" w:sz="0" w:space="0" w:color="auto"/>
                                <w:left w:val="none" w:sz="0" w:space="0" w:color="auto"/>
                                <w:bottom w:val="none" w:sz="0" w:space="0" w:color="auto"/>
                                <w:right w:val="none" w:sz="0" w:space="0" w:color="auto"/>
                              </w:divBdr>
                            </w:div>
                            <w:div w:id="7337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27583">
                  <w:marLeft w:val="-420"/>
                  <w:marRight w:val="0"/>
                  <w:marTop w:val="0"/>
                  <w:marBottom w:val="0"/>
                  <w:divBdr>
                    <w:top w:val="none" w:sz="0" w:space="0" w:color="auto"/>
                    <w:left w:val="none" w:sz="0" w:space="0" w:color="auto"/>
                    <w:bottom w:val="none" w:sz="0" w:space="0" w:color="auto"/>
                    <w:right w:val="none" w:sz="0" w:space="0" w:color="auto"/>
                  </w:divBdr>
                  <w:divsChild>
                    <w:div w:id="1309743724">
                      <w:marLeft w:val="0"/>
                      <w:marRight w:val="0"/>
                      <w:marTop w:val="0"/>
                      <w:marBottom w:val="0"/>
                      <w:divBdr>
                        <w:top w:val="none" w:sz="0" w:space="0" w:color="auto"/>
                        <w:left w:val="none" w:sz="0" w:space="0" w:color="auto"/>
                        <w:bottom w:val="none" w:sz="0" w:space="0" w:color="auto"/>
                        <w:right w:val="none" w:sz="0" w:space="0" w:color="auto"/>
                      </w:divBdr>
                      <w:divsChild>
                        <w:div w:id="192946588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5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edium.com/@robertdennyson/how-azure-functions-work-behind-the-scenes-provisioning-scaling-and-the-role-of-docker-and-d62e6425564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26</cp:revision>
  <dcterms:created xsi:type="dcterms:W3CDTF">2025-06-14T08:12:00Z</dcterms:created>
  <dcterms:modified xsi:type="dcterms:W3CDTF">2025-06-14T09:31:00Z</dcterms:modified>
</cp:coreProperties>
</file>