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0000"/>
          <w:sz w:val="36"/>
        </w:rPr>
        <w:t>Comprehensive Technical Report on Sensor Technologies</w:t>
      </w:r>
    </w:p>
    <w:p>
      <w:pPr>
        <w:spacing w:after="240"/>
      </w:pPr>
      <w:r>
        <w:rPr>
          <w:rFonts w:ascii="Arial" w:hAnsi="Arial"/>
          <w:i/>
          <w:color w:val="444444"/>
          <w:sz w:val="22"/>
        </w:rPr>
        <w:t>Technical Synthesis &amp; Operational Principles</w:t>
      </w:r>
    </w:p>
    <w:p>
      <w:pPr>
        <w:spacing w:after="280"/>
        <w:pBdr>
          <w:bottom w:val="single" w:sz="12" w:space="1" w:color="000000"/>
        </w:pBdr>
      </w:pPr>
    </w:p>
    <w:tbl>
      <w:tblPr>
        <w:tblW w:type="auto" w:w="0"/>
        <w:tblLayout w:type="fixed"/>
        <w:tblLook w:firstColumn="1" w:firstRow="1" w:lastColumn="0" w:lastRow="0" w:noHBand="0" w:noVBand="1" w:val="04A0"/>
      </w:tblPr>
      <w:tblGrid>
        <w:gridCol w:w="9936"/>
      </w:tblGrid>
      <w:tr>
        <w:tc>
          <w:tcPr>
            <w:tcW w:type="dxa" w:w="9936"/>
            <w:shd w:val="clear" w:color="auto" w:fill="F8F8F8"/>
          </w:tcPr>
          <w:p>
            <w:pPr>
              <w:spacing w:after="80"/>
            </w:pPr>
            <w:r>
              <w:rPr>
                <w:b/>
                <w:color w:val="000000"/>
                <w:sz w:val="18"/>
              </w:rPr>
              <w:t>ABSTRACT</w:t>
            </w:r>
          </w:p>
          <w:p>
            <w:pPr>
              <w:spacing w:after="40"/>
            </w:pPr>
            <w:r>
              <w:rPr>
                <w:sz w:val="19"/>
              </w:rPr>
              <w:t>This document provides a detailed overview and technical synthesis of fundamental sensor mechanisms utilized in robotics, industrial automation, and navigation systems. The scope encompasses proximity sensors (capacitive and inductive), Inertial Measurement Units (IMUs comprising accelerometers, gyroscopes, and magnetometers), angular and linear encoders, Hall effect magnetic field sensors, and Light Dependent Resistors (LDRs). Working principles, structural components, and mathematical formulations governing their operation are presented.</w:t>
            </w:r>
          </w:p>
        </w:tc>
      </w:tr>
    </w:tbl>
    <w:p>
      <w:pPr>
        <w:spacing w:after="160"/>
      </w:pPr>
    </w:p>
    <w:p>
      <w:pPr>
        <w:spacing w:before="320" w:after="120"/>
        <w:pBdr>
          <w:bottom w:val="single" w:sz="6" w:space="2" w:color="CCCCCC"/>
        </w:pBdr>
      </w:pPr>
      <w:r>
        <w:rPr>
          <w:rFonts w:ascii="Arial" w:hAnsi="Arial"/>
          <w:b/>
          <w:color w:val="000000"/>
          <w:sz w:val="26"/>
        </w:rPr>
        <w:t>I. Introduction</w:t>
      </w:r>
    </w:p>
    <w:p>
      <w:pPr>
        <w:spacing w:after="160"/>
      </w:pPr>
      <w:r>
        <w:t>Sensors form the foundational perception layer for modern autonomous, robotic, and industrial control frameworks. By converting physical phenomena—such as electrical capacitance, electromagnetic induction, mechanical displacement, micro-scale forces, and optical flux—into readable electrical signals, these devices enable real-time feedback loops and closed-loop control. This report details the working principles, component architecture, and operational physics of key sensor families required for modern electronics and robotic systems.</w:t>
      </w:r>
    </w:p>
    <w:p>
      <w:pPr>
        <w:spacing w:before="320" w:after="120"/>
        <w:pBdr>
          <w:bottom w:val="single" w:sz="6" w:space="2" w:color="CCCCCC"/>
        </w:pBdr>
      </w:pPr>
      <w:r>
        <w:rPr>
          <w:rFonts w:ascii="Arial" w:hAnsi="Arial"/>
          <w:b/>
          <w:color w:val="000000"/>
          <w:sz w:val="26"/>
        </w:rPr>
        <w:t>II. Proximity Sensors</w:t>
      </w:r>
    </w:p>
    <w:p>
      <w:pPr>
        <w:spacing w:after="120"/>
      </w:pPr>
      <w:r>
        <w:t>Proximity sensing techniques enable non-contact detection of targets within defined spatial thresholds.</w:t>
      </w:r>
    </w:p>
    <w:p>
      <w:pPr>
        <w:spacing w:before="240" w:after="80"/>
      </w:pPr>
      <w:r>
        <w:rPr>
          <w:rFonts w:ascii="Arial" w:hAnsi="Arial"/>
          <w:b/>
          <w:color w:val="000000"/>
          <w:sz w:val="22"/>
        </w:rPr>
        <w:t>A. Capacitive Proximity Sensors</w:t>
      </w:r>
    </w:p>
    <w:p>
      <w:pPr>
        <w:pStyle w:val="ListBullet"/>
      </w:pPr>
      <w:r>
        <w:rPr>
          <w:b/>
        </w:rPr>
        <w:t xml:space="preserve">Parts: </w:t>
      </w:r>
      <w:r>
        <w:t>Metal plates (electrodes), Oscillator (circuit), Control device.</w:t>
      </w:r>
    </w:p>
    <w:p>
      <w:pPr>
        <w:pStyle w:val="ListBullet"/>
      </w:pPr>
      <w:r>
        <w:rPr>
          <w:b/>
        </w:rPr>
        <w:t>Working Principle:</w:t>
      </w:r>
    </w:p>
    <w:p>
      <w:pPr>
        <w:pStyle w:val="ListBullet2"/>
      </w:pPr>
      <w:r>
        <w:t>The capacitor inside the Capacitive Proximity Sensor (CPS) develops an electric field.</w:t>
      </w:r>
    </w:p>
    <w:p>
      <w:pPr>
        <w:pStyle w:val="ListBullet2"/>
      </w:pPr>
      <w:r>
        <w:t>When an object comes into its proximity, it gets 'sensed' by interacting with the electrical field.</w:t>
      </w:r>
    </w:p>
    <w:p>
      <w:pPr>
        <w:pStyle w:val="ListBullet2"/>
      </w:pPr>
      <w:r>
        <w:t>When the object enters the field, the electrical displacement inside it tries to counteract the applied field. This changes the effective permittivity of the medium that the main electrical field is traveling through, thus increasing the charge in the circuit.</w:t>
      </w:r>
    </w:p>
    <w:p>
      <w:pPr>
        <w:pStyle w:val="ListBullet2"/>
      </w:pPr>
      <w:r>
        <w:t>This increases the effective capacitance of the capacitor.</w:t>
      </w:r>
    </w:p>
    <w:p>
      <w:pPr>
        <w:pStyle w:val="ListBullet2"/>
      </w:pPr>
      <w:r>
        <w:t>The capacitance of a parallel plate arrangement is given by:</w:t>
      </w:r>
    </w:p>
    <w:p>
      <w:pPr>
        <w:spacing w:before="120" w:after="120"/>
        <w:jc w:val="center"/>
      </w:pPr>
      <w:r>
        <w:rPr>
          <w:rFonts w:ascii="Times New Roman" w:hAnsi="Times New Roman"/>
          <w:b/>
          <w:i/>
          <w:color w:val="000000"/>
          <w:sz w:val="22"/>
        </w:rPr>
        <w:t>C = ε · (A / d)</w:t>
      </w:r>
    </w:p>
    <w:p>
      <w:pPr>
        <w:pStyle w:val="ListBullet2"/>
      </w:pPr>
      <w:r>
        <w:t>The frequency of the oscillator circuit is inversely proportional to the effective capacitance of the circuit:</w:t>
      </w:r>
    </w:p>
    <w:p>
      <w:pPr>
        <w:spacing w:before="120" w:after="120"/>
        <w:jc w:val="center"/>
      </w:pPr>
      <w:r>
        <w:rPr>
          <w:rFonts w:ascii="Times New Roman" w:hAnsi="Times New Roman"/>
          <w:b/>
          <w:i/>
          <w:color w:val="000000"/>
          <w:sz w:val="22"/>
        </w:rPr>
        <w:t>f = 1 / (2π √(L · C))</w:t>
      </w:r>
    </w:p>
    <w:p>
      <w:pPr>
        <w:pStyle w:val="ListBullet2"/>
      </w:pPr>
      <w:r>
        <w:t>Therefore, as capacitance increases, the frequency decreases.</w:t>
      </w:r>
    </w:p>
    <w:p>
      <w:pPr>
        <w:pStyle w:val="ListBullet2"/>
      </w:pPr>
      <w:r>
        <w:t>The control device tracks the frequency shift to calculate how close the object is.</w:t>
      </w:r>
    </w:p>
    <w:p>
      <w:pPr>
        <w:pStyle w:val="ListBullet"/>
      </w:pPr>
      <w:r>
        <w:t>Broadly, CPS can be further divided into two parts based on the type of capacitance they make use of—mutual or self. Sensors using self-capacitance have Earth as the implied second electrode.</w:t>
      </w:r>
    </w:p>
    <w:p>
      <w:pPr>
        <w:pStyle w:val="ListBullet"/>
      </w:pPr>
      <w:r>
        <w:t>As the default permittivity between the plates of the electrodes is air, CPS are only capable of sensing objects with permittivity more than air, as they rely on the change in effective permittivity to track the proximity of an object.</w:t>
      </w:r>
    </w:p>
    <w:tbl>
      <w:tblPr>
        <w:tblW w:type="auto" w:w="0"/>
        <w:tblLook w:firstColumn="1" w:firstRow="1" w:lastColumn="0" w:lastRow="0" w:noHBand="0" w:noVBand="1" w:val="04A0"/>
      </w:tblPr>
      <w:tblGrid>
        <w:gridCol w:w="9936"/>
      </w:tblGrid>
      <w:tr>
        <w:tc>
          <w:tcPr>
            <w:tcW w:type="dxa" w:w="9936"/>
            <w:shd w:val="clear" w:color="auto" w:fill="FAFAFA"/>
          </w:tcPr>
          <w:p>
            <w:pPr>
              <w:spacing w:before="80" w:after="80"/>
            </w:pPr>
            <w:r>
              <w:rPr>
                <w:rFonts w:ascii="Courier New" w:hAnsi="Courier New"/>
                <w:color w:val="000000"/>
                <w:sz w:val="17"/>
              </w:rPr>
              <w:t>+-----------------------------------------------+</w:t>
              <w:br/>
              <w:t>| Capacitive Sensing Field Interaction Diagram  |</w:t>
              <w:br/>
              <w:t>|                                               |</w:t>
              <w:br/>
              <w:t>|  (a) Mutual Capacitance    (b) Self Capacitance|</w:t>
              <w:br/>
              <w:t>|      Finger                     Finger        |</w:t>
              <w:br/>
              <w:t>|      /                          /             |</w:t>
              <w:br/>
              <w:t>|   . - - .                     . | .           |</w:t>
              <w:br/>
              <w:t>|  (  . .  )                   (  |  )          |</w:t>
              <w:br/>
              <w:t>|  +-------+                  +-------+         |</w:t>
              <w:br/>
              <w:t>|  |X |   |Y|                 |Electr.|         |</w:t>
              <w:br/>
              <w:t>|  +-------+                  +-------+         |</w:t>
              <w:br/>
              <w:t>+-----------------------------------------------+</w:t>
            </w:r>
          </w:p>
        </w:tc>
      </w:tr>
    </w:tbl>
    <w:p>
      <w:pPr>
        <w:spacing w:before="80" w:after="200"/>
        <w:jc w:val="center"/>
      </w:pPr>
      <w:r>
        <w:rPr>
          <w:rFonts w:ascii="Arial" w:hAnsi="Arial"/>
          <w:i/>
          <w:color w:val="444444"/>
          <w:sz w:val="17"/>
        </w:rPr>
        <w:t>Fig. 1. Electric field line deformation and capacitance perturbation in mutual and self-capacitance configurations. Reference: [1].</w:t>
      </w:r>
    </w:p>
    <w:p>
      <w:pPr>
        <w:spacing w:before="240" w:after="80"/>
      </w:pPr>
      <w:r>
        <w:rPr>
          <w:rFonts w:ascii="Arial" w:hAnsi="Arial"/>
          <w:b/>
          <w:color w:val="000000"/>
          <w:sz w:val="22"/>
        </w:rPr>
        <w:t>B. Inductive Proximity Sensors</w:t>
      </w:r>
    </w:p>
    <w:p>
      <w:r>
        <w:t>Inductive proximity sensors are also known as eddy current position sensors.</w:t>
      </w:r>
    </w:p>
    <w:p>
      <w:pPr>
        <w:pStyle w:val="ListBullet"/>
      </w:pPr>
      <w:r>
        <w:rPr>
          <w:b/>
        </w:rPr>
        <w:t xml:space="preserve">Parts: </w:t>
      </w:r>
      <w:r>
        <w:t>Oscillator circuit, Transmission coil, Control circuit.</w:t>
      </w:r>
    </w:p>
    <w:p>
      <w:pPr>
        <w:pStyle w:val="ListBullet"/>
      </w:pPr>
      <w:r>
        <w:rPr>
          <w:b/>
        </w:rPr>
        <w:t>Working Principle:</w:t>
      </w:r>
    </w:p>
    <w:p>
      <w:pPr>
        <w:pStyle w:val="ListBullet2"/>
      </w:pPr>
      <w:r>
        <w:t>The AC current through the transmission coil creates a magnetic field within which the sensor can sense any metallic object.</w:t>
      </w:r>
    </w:p>
    <w:p>
      <w:pPr>
        <w:pStyle w:val="ListBullet2"/>
      </w:pPr>
      <w:r>
        <w:t>When an object is 'sensed', it essentially interacts with the magnetic field of the primary coil, creating eddy currents on its surface and therefore a magnetic field opposing the one that caused the eddy currents.</w:t>
      </w:r>
    </w:p>
    <w:p>
      <w:pPr>
        <w:pStyle w:val="ListBullet2"/>
      </w:pPr>
      <w:r>
        <w:t>This reduces the net magnetic field through the coil and hence its effective self-inductance too.</w:t>
      </w:r>
    </w:p>
    <w:p>
      <w:pPr>
        <w:pStyle w:val="ListBullet2"/>
      </w:pPr>
      <w:r>
        <w:t>Similar to its capacitive counterpart, the object is 'sensed' by the change it brings to the frequency of the oscillator, governed by:</w:t>
      </w:r>
    </w:p>
    <w:p>
      <w:pPr>
        <w:spacing w:before="120" w:after="120"/>
        <w:jc w:val="center"/>
      </w:pPr>
      <w:r>
        <w:rPr>
          <w:rFonts w:ascii="Times New Roman" w:hAnsi="Times New Roman"/>
          <w:b/>
          <w:i/>
          <w:color w:val="000000"/>
          <w:sz w:val="22"/>
        </w:rPr>
        <w:t>f = 1 / (2π √(L · C))</w:t>
      </w:r>
    </w:p>
    <w:p>
      <w:pPr>
        <w:spacing w:before="320" w:after="120"/>
        <w:pBdr>
          <w:bottom w:val="single" w:sz="6" w:space="2" w:color="CCCCCC"/>
        </w:pBdr>
      </w:pPr>
      <w:r>
        <w:rPr>
          <w:rFonts w:ascii="Arial" w:hAnsi="Arial"/>
          <w:b/>
          <w:color w:val="000000"/>
          <w:sz w:val="26"/>
        </w:rPr>
        <w:t>III. Inertial Measurement Unit (IMU)</w:t>
      </w:r>
    </w:p>
    <w:p>
      <w:r>
        <w:t>The combination of three primary sensors namely accelerometer, gyroscope, and magnetometer is called an IMU.</w:t>
      </w:r>
    </w:p>
    <w:tbl>
      <w:tblPr>
        <w:tblW w:type="auto" w:w="0"/>
        <w:tblLook w:firstColumn="1" w:firstRow="1" w:lastColumn="0" w:lastRow="0" w:noHBand="0" w:noVBand="1" w:val="04A0"/>
      </w:tblPr>
      <w:tblGrid>
        <w:gridCol w:w="9936"/>
      </w:tblGrid>
      <w:tr>
        <w:tc>
          <w:tcPr>
            <w:tcW w:type="dxa" w:w="9936"/>
            <w:shd w:val="clear" w:color="auto" w:fill="FAFAFA"/>
          </w:tcPr>
          <w:p>
            <w:pPr>
              <w:spacing w:before="80" w:after="80"/>
            </w:pPr>
            <w:r>
              <w:rPr>
                <w:rFonts w:ascii="Courier New" w:hAnsi="Courier New"/>
                <w:color w:val="000000"/>
                <w:sz w:val="17"/>
              </w:rPr>
              <w:t xml:space="preserve">                     +-----------------------+</w:t>
              <w:br/>
              <w:t xml:space="preserve">                     |       MEMS IMU        |</w:t>
              <w:br/>
              <w:t xml:space="preserve">                     +-----------+-----------+</w:t>
              <w:br/>
              <w:t xml:space="preserve">                                 |</w:t>
              <w:br/>
              <w:t xml:space="preserve">         +-----------------------+-----------------------+</w:t>
              <w:br/>
              <w:t xml:space="preserve">         |                       |                       |</w:t>
              <w:br/>
              <w:t>+--------v--------+     +--------v--------+     +--------v--------+</w:t>
              <w:br/>
              <w:t>|  Accelerometer  |     |    Gyroscope    |     |  Magnetometer   |</w:t>
              <w:br/>
              <w:t>| (Differential C)|     | (Coriolis Force)|     |  (AMR Effect)   |</w:t>
              <w:br/>
              <w:t>+-----------------+     +-----------------+     +-----------------+</w:t>
            </w:r>
          </w:p>
        </w:tc>
      </w:tr>
    </w:tbl>
    <w:p>
      <w:pPr>
        <w:spacing w:before="80" w:after="200"/>
        <w:jc w:val="center"/>
      </w:pPr>
      <w:r>
        <w:rPr>
          <w:rFonts w:ascii="Arial" w:hAnsi="Arial"/>
          <w:i/>
          <w:color w:val="444444"/>
          <w:sz w:val="17"/>
        </w:rPr>
        <w:t>Fig. 2. Architectural breakdown of a 9-DOF Inertial Measurement Unit.</w:t>
      </w:r>
    </w:p>
    <w:p>
      <w:pPr>
        <w:spacing w:before="240" w:after="80"/>
      </w:pPr>
      <w:r>
        <w:rPr>
          <w:rFonts w:ascii="Arial" w:hAnsi="Arial"/>
          <w:b/>
          <w:color w:val="000000"/>
          <w:sz w:val="22"/>
        </w:rPr>
        <w:t>A. Accelerometer</w:t>
      </w:r>
    </w:p>
    <w:p>
      <w:pPr>
        <w:pStyle w:val="ListBullet"/>
      </w:pPr>
      <w:r>
        <w:t>Components: Proof mass, Electrodes.</w:t>
      </w:r>
    </w:p>
    <w:p>
      <w:pPr>
        <w:pStyle w:val="ListBullet"/>
      </w:pPr>
      <w:r>
        <w:rPr>
          <w:b/>
        </w:rPr>
        <w:t>Working Principle:</w:t>
      </w:r>
    </w:p>
    <w:p>
      <w:pPr>
        <w:pStyle w:val="ListBullet2"/>
      </w:pPr>
      <w:r>
        <w:t>Capacitive accelerometers work on the principle of change in differential capacitance.</w:t>
      </w:r>
    </w:p>
    <w:p>
      <w:pPr>
        <w:pStyle w:val="ListBullet2"/>
      </w:pPr>
      <w:r>
        <w:t>The finger-like structures protruding out of the proof mass act as common moving electrodes for two capacitors formed by the stationary electrodes.</w:t>
      </w:r>
    </w:p>
    <w:p>
      <w:pPr>
        <w:pStyle w:val="ListBullet2"/>
      </w:pPr>
      <w:r>
        <w:t>Therefore, when the proof mass shifts towards one plate, the charge in that capacitor increases while the charge in the capacitor from whose electrode it moved away decreases.</w:t>
      </w:r>
    </w:p>
    <w:p>
      <w:pPr>
        <w:pStyle w:val="ListBullet2"/>
      </w:pPr>
      <w:r>
        <w:t>The differential capacitance of this system is what allows the device to figure out acceleration.</w:t>
      </w:r>
    </w:p>
    <w:p>
      <w:pPr>
        <w:pStyle w:val="ListBullet2"/>
      </w:pPr>
      <w:r>
        <w:t>It is worth noting that accelerometers cannot calculate the velocity at any given moment but only the acceleration.</w:t>
      </w:r>
    </w:p>
    <w:tbl>
      <w:tblPr>
        <w:tblW w:type="auto" w:w="0"/>
        <w:tblLook w:firstColumn="1" w:firstRow="1" w:lastColumn="0" w:lastRow="0" w:noHBand="0" w:noVBand="1" w:val="04A0"/>
      </w:tblPr>
      <w:tblGrid>
        <w:gridCol w:w="9936"/>
      </w:tblGrid>
      <w:tr>
        <w:tc>
          <w:tcPr>
            <w:tcW w:type="dxa" w:w="9936"/>
            <w:shd w:val="clear" w:color="auto" w:fill="FAFAFA"/>
          </w:tcPr>
          <w:p>
            <w:pPr>
              <w:spacing w:before="80" w:after="80"/>
            </w:pPr>
            <w:r>
              <w:rPr>
                <w:rFonts w:ascii="Courier New" w:hAnsi="Courier New"/>
                <w:color w:val="000000"/>
                <w:sz w:val="17"/>
              </w:rPr>
              <w:t>+------------------------------------------------+</w:t>
              <w:br/>
              <w:t>| MEMS Capacitive Accelerometer Comb Structure  |</w:t>
              <w:br/>
              <w:t>|                                                |</w:t>
              <w:br/>
              <w:t>|     [Anchor]                   [Anchor]        |</w:t>
              <w:br/>
              <w:t>|        ||                         ||           |</w:t>
              <w:br/>
              <w:t>|   +----+---------------------------+----+      |</w:t>
              <w:br/>
              <w:t>|   |          Central Proof Mass         |      |</w:t>
              <w:br/>
              <w:t>|   +--+-----+-------+-----+-------+-----+      |</w:t>
              <w:br/>
              <w:t>|      |     |       |     |       |             |</w:t>
              <w:br/>
              <w:t>|     ===   ===     ===   ===     ===  (Fingers) |</w:t>
              <w:br/>
              <w:t>|     ---   ---     ---   ---     ---            |</w:t>
              <w:br/>
              <w:t>|      |     |       |     |       |             |</w:t>
              <w:br/>
              <w:t>|   [Fixed Electrode]  [Fixed Electrode]         |</w:t>
              <w:br/>
              <w:t>+------------------------------------------------+</w:t>
            </w:r>
          </w:p>
        </w:tc>
      </w:tr>
    </w:tbl>
    <w:p>
      <w:pPr>
        <w:spacing w:before="80" w:after="200"/>
        <w:jc w:val="center"/>
      </w:pPr>
      <w:r>
        <w:rPr>
          <w:rFonts w:ascii="Arial" w:hAnsi="Arial"/>
          <w:i/>
          <w:color w:val="444444"/>
          <w:sz w:val="17"/>
        </w:rPr>
        <w:t>Fig. 3. Interdigitated comb-finger structure of a differential capacitive MEMS accelerometer.</w:t>
      </w:r>
    </w:p>
    <w:p>
      <w:pPr>
        <w:spacing w:before="240" w:after="80"/>
      </w:pPr>
      <w:r>
        <w:rPr>
          <w:rFonts w:ascii="Arial" w:hAnsi="Arial"/>
          <w:b/>
          <w:color w:val="000000"/>
          <w:sz w:val="22"/>
        </w:rPr>
        <w:t>B. Gyroscope</w:t>
      </w:r>
    </w:p>
    <w:p>
      <w:r>
        <w:t>More specifically, MEMS gyroscopes are used in IMUs.</w:t>
      </w:r>
    </w:p>
    <w:p>
      <w:pPr>
        <w:pStyle w:val="ListBullet"/>
      </w:pPr>
      <w:r>
        <w:rPr>
          <w:b/>
        </w:rPr>
        <w:t xml:space="preserve">Design &amp; Kinematics: </w:t>
      </w:r>
    </w:p>
    <w:p>
      <w:pPr>
        <w:pStyle w:val="ListBullet2"/>
      </w:pPr>
      <w:r>
        <w:t>The design is a dual-axis mass-spring system.</w:t>
      </w:r>
    </w:p>
    <w:p>
      <w:pPr>
        <w:pStyle w:val="ListBullet2"/>
      </w:pPr>
      <w:r>
        <w:t>It works on the principle of Coriolis force—mathematically twice the cross product of the frame's angular velocity and the object's velocity (Fc = -2m(Ω × v))—theoretically the apparent acceleration experienced by an object moving linearly inside a rotating frame of reference.</w:t>
      </w:r>
    </w:p>
    <w:p>
      <w:pPr>
        <w:pStyle w:val="ListBullet"/>
      </w:pPr>
      <w:r>
        <w:rPr>
          <w:b/>
        </w:rPr>
        <w:t>Working Principle:</w:t>
      </w:r>
    </w:p>
    <w:p>
      <w:pPr>
        <w:pStyle w:val="ListBullet2"/>
      </w:pPr>
      <w:r>
        <w:t>An internal circuit keeps the proof mass in a steady to-and-fro motion along the Y-axis at a specific velocity.</w:t>
      </w:r>
    </w:p>
    <w:p>
      <w:pPr>
        <w:pStyle w:val="ListBullet2"/>
      </w:pPr>
      <w:r>
        <w:t>When there is a rotational input along the X-axis, Coriolis force is generated which pushes the vibrating mass sideways along the Z-axis.</w:t>
      </w:r>
    </w:p>
    <w:p>
      <w:pPr>
        <w:pStyle w:val="ListBullet2"/>
      </w:pPr>
      <w:r>
        <w:t>By measuring how far the proof mass has moved along the sense (Z) axis, the circuit calculates the angular velocity of the object.</w:t>
      </w:r>
    </w:p>
    <w:tbl>
      <w:tblPr>
        <w:tblW w:type="auto" w:w="0"/>
        <w:tblLook w:firstColumn="1" w:firstRow="1" w:lastColumn="0" w:lastRow="0" w:noHBand="0" w:noVBand="1" w:val="04A0"/>
      </w:tblPr>
      <w:tblGrid>
        <w:gridCol w:w="9936"/>
      </w:tblGrid>
      <w:tr>
        <w:tc>
          <w:tcPr>
            <w:tcW w:type="dxa" w:w="9936"/>
            <w:shd w:val="clear" w:color="auto" w:fill="FAFAFA"/>
          </w:tcPr>
          <w:p>
            <w:pPr>
              <w:spacing w:before="80" w:after="80"/>
            </w:pPr>
            <w:r>
              <w:rPr>
                <w:rFonts w:ascii="Courier New" w:hAnsi="Courier New"/>
                <w:color w:val="000000"/>
                <w:sz w:val="17"/>
              </w:rPr>
              <w:t xml:space="preserve">                    z (Sense Axis)</w:t>
              <w:br/>
              <w:t xml:space="preserve">                    ^</w:t>
              <w:br/>
              <w:t xml:space="preserve">                    |    +---+</w:t>
              <w:br/>
              <w:t xml:space="preserve">                    |---| k_z|--- [Mass] (v_y) ---&gt; y (Driving Axis)</w:t>
              <w:br/>
              <w:t xml:space="preserve">                    |    +---+      |</w:t>
              <w:br/>
              <w:t xml:space="preserve">                    |              +---+</w:t>
              <w:br/>
              <w:t xml:space="preserve">                    |              |k_y|</w:t>
              <w:br/>
              <w:t xml:space="preserve">                    |              +---+</w:t>
              <w:br/>
              <w:t xml:space="preserve">                    |                |</w:t>
              <w:br/>
              <w:t xml:space="preserve">                    +---------------------&gt; x (Rotation Axis Ω_x)</w:t>
            </w:r>
          </w:p>
        </w:tc>
      </w:tr>
    </w:tbl>
    <w:p>
      <w:pPr>
        <w:spacing w:before="80" w:after="200"/>
        <w:jc w:val="center"/>
      </w:pPr>
      <w:r>
        <w:rPr>
          <w:rFonts w:ascii="Arial" w:hAnsi="Arial"/>
          <w:i/>
          <w:color w:val="444444"/>
          <w:sz w:val="17"/>
        </w:rPr>
        <w:t>Fig. 4. Mass-spring dynamical system model of a MEMS Coriolis vibratory gyroscope. Reference: [3].</w:t>
      </w:r>
    </w:p>
    <w:p>
      <w:pPr>
        <w:spacing w:before="240" w:after="80"/>
      </w:pPr>
      <w:r>
        <w:rPr>
          <w:rFonts w:ascii="Arial" w:hAnsi="Arial"/>
          <w:b/>
          <w:color w:val="000000"/>
          <w:sz w:val="22"/>
        </w:rPr>
        <w:t>C. Magnetometer</w:t>
      </w:r>
    </w:p>
    <w:p>
      <w:pPr>
        <w:pStyle w:val="ListBullet"/>
      </w:pPr>
      <w:r>
        <w:rPr>
          <w:b/>
        </w:rPr>
        <w:t>Working Principle:</w:t>
      </w:r>
    </w:p>
    <w:p>
      <w:pPr>
        <w:pStyle w:val="ListBullet2"/>
      </w:pPr>
      <w:r>
        <w:t>Each of the three axes is fitted with a metal alloy called permalloy that shows AMR (Anisotropic Magnetoresistance), which basically means its resistance changes depending on the direction of the surrounding magnetic field.</w:t>
      </w:r>
    </w:p>
    <w:p>
      <w:pPr>
        <w:pStyle w:val="ListBullet2"/>
      </w:pPr>
      <w:r>
        <w:t>This property of the alloy is exploited by adding resistances to each axis.</w:t>
      </w:r>
    </w:p>
    <w:p>
      <w:pPr>
        <w:pStyle w:val="ListBullet2"/>
      </w:pPr>
      <w:r>
        <w:t>The imbalance in voltage due to external magnetic fields is used to figure out the direction of the external magnetic field.</w:t>
      </w:r>
    </w:p>
    <w:p>
      <w:pPr>
        <w:spacing w:before="320" w:after="120"/>
        <w:pBdr>
          <w:bottom w:val="single" w:sz="6" w:space="2" w:color="CCCCCC"/>
        </w:pBdr>
      </w:pPr>
      <w:r>
        <w:rPr>
          <w:rFonts w:ascii="Arial" w:hAnsi="Arial"/>
          <w:b/>
          <w:color w:val="000000"/>
          <w:sz w:val="26"/>
        </w:rPr>
        <w:t>IV. Encoders</w:t>
      </w:r>
    </w:p>
    <w:p>
      <w:r>
        <w:t>Encoders can be used to measure position and speed. Broadly, they can be classified into linear and rotary encoders.</w:t>
      </w:r>
    </w:p>
    <w:p>
      <w:pPr>
        <w:spacing w:before="240" w:after="80"/>
      </w:pPr>
      <w:r>
        <w:rPr>
          <w:rFonts w:ascii="Arial" w:hAnsi="Arial"/>
          <w:b/>
          <w:color w:val="000000"/>
          <w:sz w:val="22"/>
        </w:rPr>
        <w:t>A. Linear Encoders</w:t>
      </w:r>
    </w:p>
    <w:p>
      <w:r>
        <w:t>Linear encoders use a transducer to measure the distance between two points. As an object moves, the transducer measures the distance.</w:t>
      </w:r>
    </w:p>
    <w:p>
      <w:pPr>
        <w:spacing w:before="240" w:after="80"/>
      </w:pPr>
      <w:r>
        <w:rPr>
          <w:rFonts w:ascii="Arial" w:hAnsi="Arial"/>
          <w:b/>
          <w:color w:val="000000"/>
          <w:sz w:val="22"/>
        </w:rPr>
        <w:t>B. Rotary Encoders</w:t>
      </w:r>
    </w:p>
    <w:p>
      <w:pPr>
        <w:pStyle w:val="ListBullet"/>
      </w:pPr>
      <w:r>
        <w:rPr>
          <w:b/>
        </w:rPr>
        <w:t>Working Principle:</w:t>
      </w:r>
    </w:p>
    <w:p>
      <w:pPr>
        <w:pStyle w:val="ListBullet2"/>
      </w:pPr>
      <w:r>
        <w:t>A rotating shaft with gaps in between is used.</w:t>
      </w:r>
    </w:p>
    <w:p>
      <w:pPr>
        <w:pStyle w:val="ListBullet2"/>
      </w:pPr>
      <w:r>
        <w:t>A continuous beam of light is fired through with a detector on the other end.</w:t>
      </w:r>
    </w:p>
    <w:p>
      <w:pPr>
        <w:pStyle w:val="ListBullet2"/>
      </w:pPr>
      <w:r>
        <w:t>So the speed of the rotating shaft determines how often the light is sensed by the detector.</w:t>
      </w:r>
    </w:p>
    <w:p>
      <w:pPr>
        <w:pStyle w:val="ListBullet"/>
      </w:pPr>
      <w:r>
        <w:rPr>
          <w:b/>
        </w:rPr>
        <w:t>Encoding Mechanisms:</w:t>
      </w:r>
    </w:p>
    <w:p>
      <w:pPr>
        <w:pStyle w:val="ListBullet2"/>
      </w:pPr>
      <w:r>
        <w:t>Further, the encoding mechanism used in either one of these may be either absolute or incremental.</w:t>
      </w:r>
    </w:p>
    <w:p>
      <w:pPr>
        <w:spacing w:before="320" w:after="120"/>
        <w:pBdr>
          <w:bottom w:val="single" w:sz="6" w:space="2" w:color="CCCCCC"/>
        </w:pBdr>
      </w:pPr>
      <w:r>
        <w:rPr>
          <w:rFonts w:ascii="Arial" w:hAnsi="Arial"/>
          <w:b/>
          <w:color w:val="000000"/>
          <w:sz w:val="26"/>
        </w:rPr>
        <w:t>V. Hall Effect Sensor</w:t>
      </w:r>
    </w:p>
    <w:p>
      <w:pPr>
        <w:pStyle w:val="ListBullet"/>
      </w:pPr>
      <w:r>
        <w:rPr>
          <w:b/>
        </w:rPr>
        <w:t>Working Principle:</w:t>
      </w:r>
    </w:p>
    <w:p>
      <w:pPr>
        <w:pStyle w:val="ListBullet2"/>
      </w:pPr>
      <w:r>
        <w:t>As the name suggests, they work on the Hall Effect—the effect of getting a measurable voltage on a metallic part of a circuit when a perpendicular magnetic field is introduced.</w:t>
      </w:r>
    </w:p>
    <w:p>
      <w:pPr>
        <w:pStyle w:val="ListBullet2"/>
      </w:pPr>
      <w:r>
        <w:t>This voltage is called the Hall voltage (VH), which is directly proportional to the strength of the magnetic field used.</w:t>
      </w:r>
    </w:p>
    <w:p>
      <w:pPr>
        <w:pStyle w:val="ListBullet2"/>
      </w:pPr>
      <w:r>
        <w:t>The Hall voltage is the output voltage experienced by the sensor due to the current it is trying to 'detect', but due to it being very low, it is put through an amplifier before giving a final reading.</w:t>
      </w:r>
    </w:p>
    <w:tbl>
      <w:tblPr>
        <w:tblW w:type="auto" w:w="0"/>
        <w:tblLook w:firstColumn="1" w:firstRow="1" w:lastColumn="0" w:lastRow="0" w:noHBand="0" w:noVBand="1" w:val="04A0"/>
      </w:tblPr>
      <w:tblGrid>
        <w:gridCol w:w="9936"/>
      </w:tblGrid>
      <w:tr>
        <w:tc>
          <w:tcPr>
            <w:tcW w:type="dxa" w:w="9936"/>
            <w:shd w:val="clear" w:color="auto" w:fill="FAFAFA"/>
          </w:tcPr>
          <w:p>
            <w:pPr>
              <w:spacing w:before="80" w:after="80"/>
            </w:pPr>
            <w:r>
              <w:rPr>
                <w:rFonts w:ascii="Courier New" w:hAnsi="Courier New"/>
                <w:color w:val="000000"/>
                <w:sz w:val="17"/>
              </w:rPr>
              <w:t xml:space="preserve">                 +-----------------------+</w:t>
              <w:br/>
              <w:t xml:space="preserve">                 |   Voltage Regulator   |</w:t>
              <w:br/>
              <w:t xml:space="preserve">                 +-----------+-----------+</w:t>
              <w:br/>
              <w:t xml:space="preserve">                             |</w:t>
              <w:br/>
              <w:t xml:space="preserve">    +------------------------v------------------------+</w:t>
              <w:br/>
              <w:t xml:space="preserve">    |                                                 |</w:t>
              <w:br/>
              <w:t xml:space="preserve">    |   +-------------------+                         |</w:t>
              <w:br/>
              <w:t xml:space="preserve">    |   |    Hall Sensor    |                         |</w:t>
              <w:br/>
              <w:t>---&gt;o---|  (Sensing Element)|----+                    |</w:t>
              <w:br/>
              <w:t xml:space="preserve">        +---------+---------+    | (uV Signal)        |</w:t>
              <w:br/>
              <w:t xml:space="preserve">                  |              v                    |</w:t>
              <w:br/>
              <w:t xml:space="preserve">                  |      +---------------+            |</w:t>
              <w:br/>
              <w:t xml:space="preserve">                  +-----&gt;|   Amplifier   |-----&gt; Output Voltage (V)</w:t>
              <w:br/>
              <w:t xml:space="preserve">                         +-------+-------+</w:t>
              <w:br/>
              <w:t xml:space="preserve">                                 |</w:t>
              <w:br/>
              <w:t xml:space="preserve">                                === 0V Ground</w:t>
            </w:r>
          </w:p>
        </w:tc>
      </w:tr>
    </w:tbl>
    <w:p>
      <w:pPr>
        <w:spacing w:before="80" w:after="200"/>
        <w:jc w:val="center"/>
      </w:pPr>
      <w:r>
        <w:rPr>
          <w:rFonts w:ascii="Arial" w:hAnsi="Arial"/>
          <w:i/>
          <w:color w:val="444444"/>
          <w:sz w:val="17"/>
        </w:rPr>
        <w:t>Fig. 5. Circuit block architecture of a Hall effect sensor module incorporating signal conditioning and amplification. References: [4, 5].</w:t>
      </w:r>
    </w:p>
    <w:p>
      <w:pPr>
        <w:spacing w:before="320" w:after="120"/>
        <w:pBdr>
          <w:bottom w:val="single" w:sz="6" w:space="2" w:color="CCCCCC"/>
        </w:pBdr>
      </w:pPr>
      <w:r>
        <w:rPr>
          <w:rFonts w:ascii="Arial" w:hAnsi="Arial"/>
          <w:b/>
          <w:color w:val="000000"/>
          <w:sz w:val="26"/>
        </w:rPr>
        <w:t>VI. Light Dependent Resistor (LDR) Sensor</w:t>
      </w:r>
    </w:p>
    <w:p>
      <w:pPr>
        <w:pStyle w:val="ListBullet"/>
      </w:pPr>
      <w:r>
        <w:rPr>
          <w:b/>
        </w:rPr>
        <w:t>Working Principle:</w:t>
      </w:r>
    </w:p>
    <w:p>
      <w:pPr>
        <w:pStyle w:val="ListBullet2"/>
      </w:pPr>
      <w:r>
        <w:t>Light Dependent Resistor (LDR) is an anisotropic semiconductor that is sensitive to light.</w:t>
      </w:r>
    </w:p>
    <w:p>
      <w:pPr>
        <w:pStyle w:val="ListBullet2"/>
      </w:pPr>
      <w:r>
        <w:t>In the dark, it experiences high resistance, as the semiconductor has very few charge carriers in the conduction band.</w:t>
      </w:r>
    </w:p>
    <w:p>
      <w:pPr>
        <w:pStyle w:val="ListBullet2"/>
      </w:pPr>
      <w:r>
        <w:t>In light, it experiences low resistance, as the semiconductor has comparatively more charge carriers in the conduction band.</w:t>
      </w:r>
    </w:p>
    <w:p>
      <w:pPr>
        <w:pStyle w:val="ListBullet2"/>
      </w:pPr>
      <w:r>
        <w:t>This difference in resistance is used to detect the presence of light.</w:t>
      </w:r>
    </w:p>
    <w:p>
      <w:pPr>
        <w:spacing w:before="320" w:after="120"/>
        <w:pBdr>
          <w:bottom w:val="single" w:sz="6" w:space="2" w:color="CCCCCC"/>
        </w:pBdr>
      </w:pPr>
      <w:r>
        <w:rPr>
          <w:rFonts w:ascii="Arial" w:hAnsi="Arial"/>
          <w:b/>
          <w:color w:val="000000"/>
          <w:sz w:val="26"/>
        </w:rPr>
        <w:t>References</w:t>
      </w:r>
    </w:p>
    <w:p>
      <w:pPr>
        <w:spacing w:after="80"/>
        <w:ind w:left="360" w:hanging="360"/>
      </w:pPr>
      <w:r>
        <w:rPr>
          <w:rFonts w:ascii="Arial" w:hAnsi="Arial"/>
          <w:color w:val="444444"/>
          <w:sz w:val="17"/>
        </w:rPr>
        <w:t>[1] C. P. S. Reviewers, "Recent advances on capacitive proximity sensors: From design to applications," C — Journal of Carbon Research, vol. 8, no. 2, p. 26, May 2022.</w:t>
      </w:r>
    </w:p>
    <w:p>
      <w:pPr>
        <w:spacing w:after="80"/>
        <w:ind w:left="360" w:hanging="360"/>
      </w:pPr>
      <w:r>
        <w:rPr>
          <w:rFonts w:ascii="Arial" w:hAnsi="Arial"/>
          <w:color w:val="444444"/>
          <w:sz w:val="17"/>
        </w:rPr>
        <w:t>[2] P. Ripka and A. Chirtsov, "Inductive position and speed sensors," Sensors, vol. 20, no. 1, p. 65, Dec. 2019.</w:t>
      </w:r>
    </w:p>
    <w:p>
      <w:pPr>
        <w:spacing w:after="80"/>
        <w:ind w:left="360" w:hanging="360"/>
      </w:pPr>
      <w:r>
        <w:rPr>
          <w:rFonts w:ascii="Arial" w:hAnsi="Arial"/>
          <w:color w:val="444444"/>
          <w:sz w:val="17"/>
        </w:rPr>
        <w:t>[3] V. M. N. Passaro, A. Cuccovillo, L. Vaiani, M. De Carlo, and C. E. Campanella, "Gyroscope technology and applications: A review in the industrial perspective," Sensors, vol. 17, no. 10, p. 2284, Oct. 2017.</w:t>
      </w:r>
    </w:p>
    <w:p>
      <w:pPr>
        <w:spacing w:after="80"/>
        <w:ind w:left="360" w:hanging="360"/>
      </w:pPr>
      <w:r>
        <w:rPr>
          <w:rFonts w:ascii="Arial" w:hAnsi="Arial"/>
          <w:color w:val="444444"/>
          <w:sz w:val="17"/>
        </w:rPr>
        <w:t>[4] A. L. A. S. Reviewers, "Hall effect sensors design, integration and behavior analysis," Journal of Sensor and Actuator Networks, vol. 2, no. 1, pp. 85–95, Feb. 2013.</w:t>
      </w:r>
    </w:p>
    <w:p>
      <w:pPr>
        <w:spacing w:after="80"/>
        <w:ind w:left="360" w:hanging="360"/>
      </w:pPr>
      <w:r>
        <w:rPr>
          <w:rFonts w:ascii="Arial" w:hAnsi="Arial"/>
          <w:color w:val="444444"/>
          <w:sz w:val="17"/>
        </w:rPr>
        <w:t>[5] J. E. Lenssen et al., "A brief review of Hall-effect-based sensors," Sensor Review, vol. 46, no. 3, pp. 442–450, 2020.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