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cktarhnis4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t562w95rgp1" w:id="1"/>
      <w:bookmarkEnd w:id="1"/>
      <w:r w:rsidDel="00000000" w:rsidR="00000000" w:rsidRPr="00000000">
        <w:rPr>
          <w:rtl w:val="0"/>
        </w:rPr>
        <w:t xml:space="preserve">1. </w:t>
      </w:r>
      <w:commentRangeStart w:id="0"/>
      <w:r w:rsidDel="00000000" w:rsidR="00000000" w:rsidRPr="00000000">
        <w:rPr>
          <w:rtl w:val="0"/>
        </w:rPr>
        <w:t xml:space="preserve">The benefits of using TMS and  features that make it possible to achieve this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greatest benefit of using a TMS lies in managing chaos, ensuring complete transparency of testing processes, and achieving traceability between requirements, test cases and bugs.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ability to trace the path from a requirement to a test case and the final defect.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with bug trackers (e.g. Jira) using special ‘References’ fields; can link a test case to a specific Jira issue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distinguishes between the theoretical framework and the practical testing cycles.</w:t>
      </w:r>
    </w:p>
    <w:p w:rsidR="00000000" w:rsidDel="00000000" w:rsidP="00000000" w:rsidRDefault="00000000" w:rsidRPr="00000000" w14:paraId="00000009">
      <w:pPr>
        <w:ind w:left="708.6614173228347" w:firstLine="0"/>
        <w:rPr/>
      </w:pPr>
      <w:r w:rsidDel="00000000" w:rsidR="00000000" w:rsidRPr="00000000">
        <w:rPr>
          <w:rtl w:val="0"/>
        </w:rPr>
        <w:t xml:space="preserve">Test cases / checklists serve as instructions stored in a single repository,</w:t>
      </w:r>
    </w:p>
    <w:p w:rsidR="00000000" w:rsidDel="00000000" w:rsidP="00000000" w:rsidRDefault="00000000" w:rsidRPr="00000000" w14:paraId="0000000A">
      <w:pPr>
        <w:ind w:left="708.6614173228347" w:firstLine="0"/>
        <w:rPr/>
      </w:pPr>
      <w:r w:rsidDel="00000000" w:rsidR="00000000" w:rsidRPr="00000000">
        <w:rPr>
          <w:rtl w:val="0"/>
        </w:rPr>
        <w:t xml:space="preserve">Test Runs) – this is the process of carrying out tests on a specific version of a product or within a particular sprint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Based on these statuses, the system generates real-time graphs and charts. Stakeholders can assess: what percentage of testing has been completed, how many blocking bugs have been found, and whether the system is ready for release.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plzw3z1gdd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q5maxwjtgnp" w:id="3"/>
      <w:bookmarkEnd w:id="3"/>
      <w:commentRangeStart w:id="1"/>
      <w:commentRangeStart w:id="2"/>
      <w:commentRangeStart w:id="3"/>
      <w:r w:rsidDel="00000000" w:rsidR="00000000" w:rsidRPr="00000000">
        <w:rPr>
          <w:rtl w:val="0"/>
        </w:rPr>
        <w:t xml:space="preserve">TestRail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https://qahelvetas7.testrail.io/index.php?/projects/overview/11 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c387zdtw5vz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7-09T06:07:11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gave a strong, technically accurate answer: the phrase "traceability between requirements, test cases and bugs" captures exactly the core value of a TMS covered in the lesson, and your note that a case can integrate with Jira "using special 'References' fields" shows you understand how a TMS connects to the wider bug-tracking workflow, not just test storage. The point about the system generating "real-time graphs and charts" so stakeholders can judge release readiness is a nice addition that ties theory to practical value.</w:t>
      </w:r>
    </w:p>
  </w:comment>
  <w:comment w:author="Nadiia Ovsiannikova" w:id="1" w:date="2026-07-09T06:22:06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transferred a solid set of test cases into a single Test Run and organized them into clear sections (Header Block, Body/Main Content Area, Page Header), showing good coverage of the eBay homepage.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things worth tightening: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almost every case reuses the same long Preconditions block verbatim, including details that don't apply to that specific check — for example, the note about "System Time... for the dynamic copyright year check" shows up even on the "Search Input Field" case — preconditions should be tailored to what that particular case actually needs.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C105 "Page Header" you bundled ten unrelated checks (Sign in, Register, Watchlist, My eBay, Bell, basket, etc.) into one case as a list of steps, but none of them has an Expected Result filled in — each deserves either its own case or, at minimum, an explicit expected result per step, otherwise there's nothing concrete to verify against.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also, most "Test Case (Text)" entries (like C106 "eBay Logo") describe the action and the result in a single sentence rather than as a separate step — splitting action from expected result consistently will make the cases easier to execute and audit.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work!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total reaction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Liudmyla Papaianakis reacted with 😀 at 2026-07-09 11:40 am UTC</w:t>
      </w:r>
    </w:p>
  </w:comment>
  <w:comment w:author="Liudmyla Papaianakis" w:id="2" w:date="2026-07-09T11:40:33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very much! I had a feeling that I wasnt correct enough exactly in that points you mentioned.</w:t>
      </w:r>
    </w:p>
  </w:comment>
  <w:comment w:author="Nadiia Ovsiannikova" w:id="3" w:date="2026-07-13T14:31:33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