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58B1" w14:textId="77777777" w:rsidR="000374CF" w:rsidRDefault="00000000">
      <w:pPr>
        <w:pStyle w:val="Heading1"/>
      </w:pPr>
      <w:bookmarkStart w:id="0" w:name="Xe922e6cb95847ae275a99758f8015b8a3d5362d"/>
      <w:r>
        <w:t>Aurora / Lens — Precedence and Differentiation</w:t>
      </w:r>
    </w:p>
    <w:p w14:paraId="57D46B3F" w14:textId="77777777" w:rsidR="000374CF" w:rsidRDefault="00000000">
      <w:pPr>
        <w:pStyle w:val="Heading2"/>
      </w:pPr>
      <w:bookmarkStart w:id="1" w:name="purpose"/>
      <w:r>
        <w:t>Purpose</w:t>
      </w:r>
    </w:p>
    <w:p w14:paraId="0B232DC7" w14:textId="77777777" w:rsidR="000374CF" w:rsidRDefault="00000000">
      <w:pPr>
        <w:pStyle w:val="FirstParagraph"/>
      </w:pPr>
      <w:r>
        <w:t>This document establishes conceptual precedence, architectural distinctiveness, and authorship continuity for the Aurora / PEF / Lens / Governor work.</w:t>
      </w:r>
    </w:p>
    <w:p w14:paraId="5F9FCF42" w14:textId="77777777" w:rsidR="000374CF" w:rsidRDefault="00000000">
      <w:pPr>
        <w:pStyle w:val="BodyText"/>
      </w:pPr>
      <w:r>
        <w:t>It is designed to make three things unmistakable:</w:t>
      </w:r>
    </w:p>
    <w:p w14:paraId="10DEF803" w14:textId="77777777" w:rsidR="000374C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What was introduced</w:t>
      </w:r>
    </w:p>
    <w:p w14:paraId="54DD472E" w14:textId="77777777" w:rsidR="000374C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When it was introduced</w:t>
      </w:r>
    </w:p>
    <w:p w14:paraId="4800A37A" w14:textId="77777777" w:rsidR="000374C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Why it is not reducible to generic “AI safety,” guardrails, or prompt patching</w:t>
      </w:r>
    </w:p>
    <w:p w14:paraId="5B8C4B25" w14:textId="77777777" w:rsidR="000374CF" w:rsidRDefault="00000000">
      <w:r>
        <w:pict w14:anchorId="2A7F94E0">
          <v:rect id="_x0000_i1025" style="width:0;height:1.5pt" o:hralign="center" o:hrstd="t" o:hr="t"/>
        </w:pict>
      </w:r>
    </w:p>
    <w:p w14:paraId="302BC3C0" w14:textId="77777777" w:rsidR="000374CF" w:rsidRDefault="00000000">
      <w:pPr>
        <w:pStyle w:val="Heading2"/>
      </w:pPr>
      <w:bookmarkStart w:id="2" w:name="core-claim"/>
      <w:bookmarkEnd w:id="1"/>
      <w:r>
        <w:t>Core claim</w:t>
      </w:r>
    </w:p>
    <w:p w14:paraId="1A017984" w14:textId="77777777" w:rsidR="000374CF" w:rsidRDefault="00000000">
      <w:pPr>
        <w:pStyle w:val="FirstParagraph"/>
      </w:pPr>
      <w:r>
        <w:t>The central problem identified in this work is not merely false output.</w:t>
      </w:r>
    </w:p>
    <w:p w14:paraId="459F6B7C" w14:textId="77777777" w:rsidR="000374CF" w:rsidRDefault="00000000">
      <w:pPr>
        <w:pStyle w:val="BodyText"/>
      </w:pPr>
      <w:r>
        <w:t xml:space="preserve">The deeper failure is </w:t>
      </w:r>
      <w:r>
        <w:rPr>
          <w:b/>
          <w:bCs/>
        </w:rPr>
        <w:t>continuation without warrant</w:t>
      </w:r>
      <w:r>
        <w:t>: systems proceeding as though a state, fact, authority, or procedural transition is settled when it is not.</w:t>
      </w:r>
    </w:p>
    <w:p w14:paraId="0FEB462C" w14:textId="77777777" w:rsidR="000374CF" w:rsidRDefault="00000000">
      <w:pPr>
        <w:pStyle w:val="BodyText"/>
      </w:pPr>
      <w:r>
        <w:t>Aurora Lens was developed to govern whether model output is epistemically admissible to become consequence. Governor was developed to determine the lawful continuation once a continuation is blocked, constrained, or escalated.</w:t>
      </w:r>
    </w:p>
    <w:p w14:paraId="4FEFBC75" w14:textId="77777777" w:rsidR="000374CF" w:rsidRDefault="00000000">
      <w:pPr>
        <w:pStyle w:val="BodyText"/>
      </w:pPr>
      <w:r>
        <w:t>This is a governance architecture, not a style layer.</w:t>
      </w:r>
    </w:p>
    <w:p w14:paraId="3B1DB05E" w14:textId="77777777" w:rsidR="000374CF" w:rsidRDefault="00000000">
      <w:r>
        <w:pict w14:anchorId="7B7F29D1">
          <v:rect id="_x0000_i1026" style="width:0;height:1.5pt" o:hralign="center" o:hrstd="t" o:hr="t"/>
        </w:pict>
      </w:r>
    </w:p>
    <w:p w14:paraId="7D03D425" w14:textId="77777777" w:rsidR="000374CF" w:rsidRDefault="00000000">
      <w:pPr>
        <w:pStyle w:val="Heading2"/>
      </w:pPr>
      <w:bookmarkStart w:id="3" w:name="what-this-work-introduced"/>
      <w:bookmarkEnd w:id="2"/>
      <w:r>
        <w:t>What this work introduced</w:t>
      </w:r>
    </w:p>
    <w:p w14:paraId="16EE9305" w14:textId="77777777" w:rsidR="000374CF" w:rsidRDefault="00000000">
      <w:pPr>
        <w:pStyle w:val="Heading3"/>
      </w:pPr>
      <w:bookmarkStart w:id="4" w:name="X9ae0b41ebb3237898d690fbff695b3a36b2d0c5"/>
      <w:r>
        <w:t>1. Present-bound ontology and persistence substrate</w:t>
      </w:r>
    </w:p>
    <w:p w14:paraId="598AD8CB" w14:textId="77777777" w:rsidR="000374CF" w:rsidRDefault="00000000">
      <w:pPr>
        <w:pStyle w:val="FirstParagraph"/>
      </w:pPr>
      <w:r>
        <w:t xml:space="preserve">This work developed the present-bound ontological frame that led to </w:t>
      </w:r>
      <w:r>
        <w:rPr>
          <w:b/>
          <w:bCs/>
        </w:rPr>
        <w:t>PEF (Persistent Existence Frame)</w:t>
      </w:r>
      <w:r>
        <w:t>: an architectural substrate in which entities and relations persist across activations rather than being reconstructed ad hoc from sequence.</w:t>
      </w:r>
    </w:p>
    <w:p w14:paraId="3EABC381" w14:textId="77777777" w:rsidR="000374CF" w:rsidRDefault="00000000">
      <w:pPr>
        <w:pStyle w:val="Heading3"/>
      </w:pPr>
      <w:bookmarkStart w:id="5" w:name="admissibility-as-runtime-governance"/>
      <w:bookmarkEnd w:id="4"/>
      <w:r>
        <w:t>2. Admissibility as runtime governance</w:t>
      </w:r>
    </w:p>
    <w:p w14:paraId="5E780AF2" w14:textId="77777777" w:rsidR="000374CF" w:rsidRDefault="00000000">
      <w:pPr>
        <w:pStyle w:val="FirstParagraph"/>
      </w:pPr>
      <w:r>
        <w:t xml:space="preserve">This work introduced </w:t>
      </w:r>
      <w:r>
        <w:rPr>
          <w:b/>
          <w:bCs/>
        </w:rPr>
        <w:t>runtime admissibility</w:t>
      </w:r>
      <w:r>
        <w:t xml:space="preserve"> as the key control question: not whether an answer is fluent, but whether it is entitled to become consequence.</w:t>
      </w:r>
    </w:p>
    <w:p w14:paraId="3E48D303" w14:textId="77777777" w:rsidR="000374CF" w:rsidRDefault="00000000">
      <w:pPr>
        <w:pStyle w:val="Heading3"/>
      </w:pPr>
      <w:bookmarkStart w:id="6" w:name="Xacc75ea35ca37f1ff447f40fdbc28fbe735c479"/>
      <w:bookmarkEnd w:id="5"/>
      <w:r>
        <w:t>3. Refusal and escalation as governed terminal states</w:t>
      </w:r>
    </w:p>
    <w:p w14:paraId="0AD3DF8D" w14:textId="77777777" w:rsidR="000374CF" w:rsidRDefault="00000000">
      <w:pPr>
        <w:pStyle w:val="FirstParagraph"/>
      </w:pPr>
      <w:r>
        <w:t xml:space="preserve">This work treated </w:t>
      </w:r>
      <w:r>
        <w:rPr>
          <w:b/>
          <w:bCs/>
        </w:rPr>
        <w:t>STOP, REFUSE, REVISION, and ESCALATION</w:t>
      </w:r>
      <w:r>
        <w:t xml:space="preserve"> as first-class governance outcomes rather than UX failures.</w:t>
      </w:r>
    </w:p>
    <w:p w14:paraId="7D33E64E" w14:textId="77777777" w:rsidR="000374CF" w:rsidRDefault="00000000">
      <w:pPr>
        <w:pStyle w:val="Heading3"/>
      </w:pPr>
      <w:bookmarkStart w:id="7" w:name="lawful-continuation-after-refusal"/>
      <w:bookmarkEnd w:id="6"/>
      <w:r>
        <w:lastRenderedPageBreak/>
        <w:t>4. Lawful continuation after refusal</w:t>
      </w:r>
    </w:p>
    <w:p w14:paraId="4B17467B" w14:textId="77777777" w:rsidR="000374CF" w:rsidRDefault="00000000">
      <w:pPr>
        <w:pStyle w:val="FirstParagraph"/>
      </w:pPr>
      <w:r>
        <w:t xml:space="preserve">This work separated: - </w:t>
      </w:r>
      <w:r>
        <w:rPr>
          <w:b/>
          <w:bCs/>
        </w:rPr>
        <w:t>Lens</w:t>
      </w:r>
      <w:r>
        <w:t xml:space="preserve"> = determines whether output may pass - </w:t>
      </w:r>
      <w:r>
        <w:rPr>
          <w:b/>
          <w:bCs/>
        </w:rPr>
        <w:t>Governor</w:t>
      </w:r>
      <w:r>
        <w:t xml:space="preserve"> = determines the only lawful continuation after non-admission</w:t>
      </w:r>
    </w:p>
    <w:p w14:paraId="56F7B82C" w14:textId="77777777" w:rsidR="000374CF" w:rsidRDefault="00000000">
      <w:pPr>
        <w:pStyle w:val="Heading3"/>
      </w:pPr>
      <w:bookmarkStart w:id="8" w:name="forensic-accountability"/>
      <w:bookmarkEnd w:id="7"/>
      <w:r>
        <w:t>5. Forensic accountability</w:t>
      </w:r>
    </w:p>
    <w:p w14:paraId="78614181" w14:textId="77777777" w:rsidR="000374CF" w:rsidRDefault="00000000">
      <w:pPr>
        <w:pStyle w:val="FirstParagraph"/>
      </w:pPr>
      <w:r>
        <w:t xml:space="preserve">This work required that every non-admit outcome emit a </w:t>
      </w:r>
      <w:r>
        <w:rPr>
          <w:b/>
          <w:bCs/>
        </w:rPr>
        <w:t>forensic envelope</w:t>
      </w:r>
      <w:r>
        <w:t>: a structured, reviewable record of what was attempted, what failed admissibility, what was allowed, and why.</w:t>
      </w:r>
    </w:p>
    <w:p w14:paraId="461AE3AE" w14:textId="77777777" w:rsidR="000374CF" w:rsidRDefault="00000000">
      <w:pPr>
        <w:pStyle w:val="Heading3"/>
      </w:pPr>
      <w:bookmarkStart w:id="9" w:name="Xf3810ffe90538309faf02d7bd7c6765cab16e6d"/>
      <w:bookmarkEnd w:id="8"/>
      <w:r>
        <w:t>6. Failure class: continuation without warrant</w:t>
      </w:r>
    </w:p>
    <w:p w14:paraId="109D60C2" w14:textId="77777777" w:rsidR="000374CF" w:rsidRDefault="00000000">
      <w:pPr>
        <w:pStyle w:val="FirstParagraph"/>
      </w:pPr>
      <w:r>
        <w:t>This work identified a commercially meaningful failure class often missed by mainstream model evaluation: - hallucination with procedural consequence - false closure from incomplete evidence - unwarranted state transition - authority laundering - continuity failure across unresolved state - paternalisation / agency override</w:t>
      </w:r>
    </w:p>
    <w:p w14:paraId="00959E17" w14:textId="77777777" w:rsidR="000374CF" w:rsidRDefault="00000000">
      <w:r>
        <w:pict w14:anchorId="58742BF6">
          <v:rect id="_x0000_i1027" style="width:0;height:1.5pt" o:hralign="center" o:hrstd="t" o:hr="t"/>
        </w:pict>
      </w:r>
    </w:p>
    <w:p w14:paraId="06DE80E5" w14:textId="77777777" w:rsidR="000374CF" w:rsidRDefault="00000000">
      <w:pPr>
        <w:pStyle w:val="Heading2"/>
      </w:pPr>
      <w:bookmarkStart w:id="10" w:name="what-this-work-is-not"/>
      <w:bookmarkEnd w:id="3"/>
      <w:bookmarkEnd w:id="9"/>
      <w:r>
        <w:t>What this work is not</w:t>
      </w:r>
    </w:p>
    <w:p w14:paraId="21038EF0" w14:textId="77777777" w:rsidR="000374CF" w:rsidRDefault="00000000">
      <w:pPr>
        <w:pStyle w:val="FirstParagraph"/>
      </w:pPr>
      <w:r>
        <w:t>This architecture is not:</w:t>
      </w:r>
    </w:p>
    <w:p w14:paraId="208F3F94" w14:textId="77777777" w:rsidR="000374CF" w:rsidRDefault="00000000">
      <w:pPr>
        <w:pStyle w:val="Compact"/>
        <w:numPr>
          <w:ilvl w:val="0"/>
          <w:numId w:val="3"/>
        </w:numPr>
      </w:pPr>
      <w:r>
        <w:t>a generic chatbot wrapper</w:t>
      </w:r>
    </w:p>
    <w:p w14:paraId="3286DD4E" w14:textId="77777777" w:rsidR="000374CF" w:rsidRDefault="00000000">
      <w:pPr>
        <w:pStyle w:val="Compact"/>
        <w:numPr>
          <w:ilvl w:val="0"/>
          <w:numId w:val="3"/>
        </w:numPr>
      </w:pPr>
      <w:r>
        <w:t>a content moderation layer</w:t>
      </w:r>
    </w:p>
    <w:p w14:paraId="7AE4D4EF" w14:textId="77777777" w:rsidR="000374CF" w:rsidRDefault="00000000">
      <w:pPr>
        <w:pStyle w:val="Compact"/>
        <w:numPr>
          <w:ilvl w:val="0"/>
          <w:numId w:val="3"/>
        </w:numPr>
      </w:pPr>
      <w:r>
        <w:t>a refusal-polish layer</w:t>
      </w:r>
    </w:p>
    <w:p w14:paraId="37C9C3FB" w14:textId="77777777" w:rsidR="000374CF" w:rsidRDefault="00000000">
      <w:pPr>
        <w:pStyle w:val="Compact"/>
        <w:numPr>
          <w:ilvl w:val="0"/>
          <w:numId w:val="3"/>
        </w:numPr>
      </w:pPr>
      <w:r>
        <w:t>a prompt hardening trick</w:t>
      </w:r>
    </w:p>
    <w:p w14:paraId="52704CAC" w14:textId="77777777" w:rsidR="000374CF" w:rsidRDefault="00000000">
      <w:pPr>
        <w:pStyle w:val="Compact"/>
        <w:numPr>
          <w:ilvl w:val="0"/>
          <w:numId w:val="3"/>
        </w:numPr>
      </w:pPr>
      <w:r>
        <w:t>a probabilistic best-guess safety ranker</w:t>
      </w:r>
    </w:p>
    <w:p w14:paraId="393A502E" w14:textId="77777777" w:rsidR="000374CF" w:rsidRDefault="00000000">
      <w:pPr>
        <w:pStyle w:val="Compact"/>
        <w:numPr>
          <w:ilvl w:val="0"/>
          <w:numId w:val="3"/>
        </w:numPr>
      </w:pPr>
      <w:r>
        <w:t>a cosmetic alignment patch</w:t>
      </w:r>
    </w:p>
    <w:p w14:paraId="0D22CB8E" w14:textId="77777777" w:rsidR="000374CF" w:rsidRDefault="00000000">
      <w:pPr>
        <w:pStyle w:val="FirstParagraph"/>
      </w:pPr>
      <w:r>
        <w:t>It is a deterministic control architecture for admissibility, continuation, and auditability.</w:t>
      </w:r>
    </w:p>
    <w:p w14:paraId="0AE7CE12" w14:textId="77777777" w:rsidR="000374CF" w:rsidRDefault="00000000">
      <w:r>
        <w:pict w14:anchorId="7BC77214">
          <v:rect id="_x0000_i1028" style="width:0;height:1.5pt" o:hralign="center" o:hrstd="t" o:hr="t"/>
        </w:pict>
      </w:r>
    </w:p>
    <w:p w14:paraId="79D946F3" w14:textId="77777777" w:rsidR="000374CF" w:rsidRDefault="00000000">
      <w:pPr>
        <w:pStyle w:val="Heading2"/>
      </w:pPr>
      <w:bookmarkStart w:id="11" w:name="Xbaedcf1d565e94e95b4c1dcb2019647ff50a3f9"/>
      <w:bookmarkEnd w:id="10"/>
      <w:r>
        <w:t>Differentiation from common market framing</w:t>
      </w:r>
    </w:p>
    <w:p w14:paraId="1F83E43F" w14:textId="77777777" w:rsidR="000374CF" w:rsidRDefault="00000000">
      <w:pPr>
        <w:pStyle w:val="FirstParagraph"/>
      </w:pPr>
      <w:r>
        <w:t>Typical safety framing asks: - Did the model say something disallowed? - Did the system block a visibly unsafe answer?</w:t>
      </w:r>
    </w:p>
    <w:p w14:paraId="21D8040E" w14:textId="77777777" w:rsidR="000374CF" w:rsidRDefault="00000000">
      <w:pPr>
        <w:pStyle w:val="BodyText"/>
      </w:pPr>
      <w:r>
        <w:t xml:space="preserve">Aurora asks a stronger question: - </w:t>
      </w:r>
      <w:r>
        <w:rPr>
          <w:b/>
          <w:bCs/>
        </w:rPr>
        <w:t>Was the model entitled to continue from this state at all?</w:t>
      </w:r>
    </w:p>
    <w:p w14:paraId="77204547" w14:textId="77777777" w:rsidR="000374CF" w:rsidRDefault="00000000">
      <w:pPr>
        <w:pStyle w:val="BodyText"/>
      </w:pPr>
      <w:r>
        <w:t>That distinction matters because liability often comes from plausible continuation under incomplete, unresolved, or unauthorized conditions.</w:t>
      </w:r>
    </w:p>
    <w:p w14:paraId="2C0EBDD7" w14:textId="77777777" w:rsidR="000374CF" w:rsidRDefault="00000000">
      <w:pPr>
        <w:pStyle w:val="BodyText"/>
      </w:pPr>
      <w:r>
        <w:t xml:space="preserve">The key failure is frequently not blatant error. It is </w:t>
      </w:r>
      <w:r>
        <w:rPr>
          <w:b/>
          <w:bCs/>
        </w:rPr>
        <w:t>plausible overreach that becomes action, liability, or organizational consequence</w:t>
      </w:r>
      <w:r>
        <w:t>.</w:t>
      </w:r>
    </w:p>
    <w:p w14:paraId="4C959D1F" w14:textId="77777777" w:rsidR="000374CF" w:rsidRDefault="00000000">
      <w:r>
        <w:lastRenderedPageBreak/>
        <w:pict w14:anchorId="2D7050D1">
          <v:rect id="_x0000_i1029" style="width:0;height:1.5pt" o:hralign="center" o:hrstd="t" o:hr="t"/>
        </w:pict>
      </w:r>
    </w:p>
    <w:p w14:paraId="22B99B0F" w14:textId="77777777" w:rsidR="000374CF" w:rsidRDefault="00000000">
      <w:pPr>
        <w:pStyle w:val="Heading2"/>
      </w:pPr>
      <w:bookmarkStart w:id="12" w:name="X100d446ac5fb0167b8ce39d8eaf0f718e59e97b"/>
      <w:bookmarkEnd w:id="11"/>
      <w:r>
        <w:t>Distinction from generic memory or context systems</w:t>
      </w:r>
    </w:p>
    <w:p w14:paraId="457E5E66" w14:textId="77777777" w:rsidR="000374CF" w:rsidRDefault="00000000">
      <w:pPr>
        <w:pStyle w:val="FirstParagraph"/>
      </w:pPr>
      <w:r>
        <w:t>PEF is not generic “memory.” It is a persistence substrate in which entities and relations continue to exist and constrain admissibility over time.</w:t>
      </w:r>
    </w:p>
    <w:p w14:paraId="1BF841A1" w14:textId="77777777" w:rsidR="000374CF" w:rsidRDefault="00000000">
      <w:pPr>
        <w:pStyle w:val="BodyText"/>
      </w:pPr>
      <w:r>
        <w:t>The problem solved here is continuity of governed existence, not merely retrieval of previous tokens or recollection of prior chat context.</w:t>
      </w:r>
    </w:p>
    <w:p w14:paraId="1DFA7769" w14:textId="77777777" w:rsidR="000374CF" w:rsidRDefault="00000000">
      <w:r>
        <w:pict w14:anchorId="48D93CF7">
          <v:rect id="_x0000_i1030" style="width:0;height:1.5pt" o:hralign="center" o:hrstd="t" o:hr="t"/>
        </w:pict>
      </w:r>
    </w:p>
    <w:p w14:paraId="2CC3BA48" w14:textId="77777777" w:rsidR="000374CF" w:rsidRDefault="00000000">
      <w:pPr>
        <w:pStyle w:val="Heading2"/>
      </w:pPr>
      <w:bookmarkStart w:id="13" w:name="X668b6b93f9c56d87608437044bc4a630de83186"/>
      <w:bookmarkEnd w:id="12"/>
      <w:r>
        <w:t>Distinction from Genesis and precursor work</w:t>
      </w:r>
    </w:p>
    <w:p w14:paraId="6BCE2C67" w14:textId="77777777" w:rsidR="000374CF" w:rsidRDefault="00000000">
      <w:pPr>
        <w:pStyle w:val="FirstParagraph"/>
      </w:pPr>
      <w:r>
        <w:t>Genesis was an earlier conceptual precursor and bridge. It explored structural themes such as topology, separation, and constraint.</w:t>
      </w:r>
    </w:p>
    <w:p w14:paraId="5F8A59DC" w14:textId="77777777" w:rsidR="000374CF" w:rsidRDefault="00000000">
      <w:pPr>
        <w:pStyle w:val="BodyText"/>
      </w:pPr>
      <w:r>
        <w:t>Aurora / PEF is the later and distinct architecture centered on: - normative epistemic governance - admissibility - refusal as first-class outcome - illegitimacy of premature certainty - persistent identity and relation across activations</w:t>
      </w:r>
    </w:p>
    <w:p w14:paraId="59A6433B" w14:textId="77777777" w:rsidR="000374CF" w:rsidRDefault="00000000">
      <w:pPr>
        <w:pStyle w:val="BodyText"/>
      </w:pPr>
      <w:r>
        <w:t>Genesis should therefore be treated as precursor material, not as the final governing architecture.</w:t>
      </w:r>
    </w:p>
    <w:p w14:paraId="5A6E275E" w14:textId="77777777" w:rsidR="000374CF" w:rsidRDefault="00000000">
      <w:r>
        <w:pict w14:anchorId="51049DCE">
          <v:rect id="_x0000_i1031" style="width:0;height:1.5pt" o:hralign="center" o:hrstd="t" o:hr="t"/>
        </w:pict>
      </w:r>
    </w:p>
    <w:p w14:paraId="4EE9216E" w14:textId="77777777" w:rsidR="000374CF" w:rsidRDefault="00000000">
      <w:pPr>
        <w:pStyle w:val="Heading2"/>
      </w:pPr>
      <w:bookmarkStart w:id="14" w:name="practical-product-meaning"/>
      <w:bookmarkEnd w:id="13"/>
      <w:r>
        <w:t>Practical product meaning</w:t>
      </w:r>
    </w:p>
    <w:p w14:paraId="60B46275" w14:textId="77777777" w:rsidR="000374CF" w:rsidRDefault="00000000">
      <w:pPr>
        <w:pStyle w:val="FirstParagraph"/>
      </w:pPr>
      <w:r>
        <w:t>Aurora Lens is not mainly selling refusal. It is selling: - controlled failure - containment - defensibility - lawful continuation - forensic evidence</w:t>
      </w:r>
    </w:p>
    <w:p w14:paraId="0332191F" w14:textId="77777777" w:rsidR="000374CF" w:rsidRDefault="00000000">
      <w:pPr>
        <w:pStyle w:val="BodyText"/>
      </w:pPr>
      <w:r>
        <w:t>The buyer value is that a deployment can show, under scrutiny: - what the model attempted - what the system allowed - what it blocked - why it blocked it - what continuation remained lawful</w:t>
      </w:r>
    </w:p>
    <w:p w14:paraId="33FA5BFB" w14:textId="77777777" w:rsidR="000374CF" w:rsidRDefault="00000000">
      <w:pPr>
        <w:pStyle w:val="BodyText"/>
      </w:pPr>
      <w:r>
        <w:t>This turns AI failure from opaque risk into defensible evidence.</w:t>
      </w:r>
    </w:p>
    <w:p w14:paraId="26A77BFD" w14:textId="77777777" w:rsidR="000374CF" w:rsidRDefault="00000000">
      <w:r>
        <w:pict w14:anchorId="3926CC04">
          <v:rect id="_x0000_i1032" style="width:0;height:1.5pt" o:hralign="center" o:hrstd="t" o:hr="t"/>
        </w:pict>
      </w:r>
    </w:p>
    <w:p w14:paraId="024C4E30" w14:textId="77777777" w:rsidR="000374CF" w:rsidRDefault="00000000">
      <w:pPr>
        <w:pStyle w:val="Heading2"/>
      </w:pPr>
      <w:bookmarkStart w:id="15" w:name="authorship-continuity"/>
      <w:bookmarkEnd w:id="14"/>
      <w:r>
        <w:t>Authorship continuity</w:t>
      </w:r>
    </w:p>
    <w:p w14:paraId="44604088" w14:textId="77777777" w:rsidR="000374CF" w:rsidRDefault="00000000">
      <w:pPr>
        <w:pStyle w:val="FirstParagraph"/>
      </w:pPr>
      <w:r>
        <w:t>This work should be understood as the late-stage articulation of a long intellectual trajectory rather than a sudden response to AI market fashion.</w:t>
      </w:r>
    </w:p>
    <w:p w14:paraId="3B988AFC" w14:textId="77777777" w:rsidR="000374CF" w:rsidRDefault="00000000">
      <w:pPr>
        <w:pStyle w:val="BodyText"/>
      </w:pPr>
      <w:r>
        <w:t>Relevant continuity includes: - long-term work in philosophy and linguistics - decades of technical experience - the development of present-centered cognition concepts prior to the commercial safety wave - subsequent formalization into PEF, Aurora, Lens, and Governor</w:t>
      </w:r>
    </w:p>
    <w:p w14:paraId="6618AD67" w14:textId="77777777" w:rsidR="000374CF" w:rsidRDefault="00000000">
      <w:pPr>
        <w:pStyle w:val="BodyText"/>
      </w:pPr>
      <w:r>
        <w:lastRenderedPageBreak/>
        <w:t>This continuity matters because it shows that the work is original in architecture, not a post hoc relabeling of existing market categories.</w:t>
      </w:r>
    </w:p>
    <w:p w14:paraId="5BC129AC" w14:textId="77777777" w:rsidR="000374CF" w:rsidRDefault="00000000">
      <w:r>
        <w:pict w14:anchorId="206D89AD">
          <v:rect id="_x0000_i1033" style="width:0;height:1.5pt" o:hralign="center" o:hrstd="t" o:hr="t"/>
        </w:pict>
      </w:r>
    </w:p>
    <w:p w14:paraId="1C68A2D9" w14:textId="77777777" w:rsidR="000374CF" w:rsidRDefault="00000000">
      <w:pPr>
        <w:pStyle w:val="Heading2"/>
      </w:pPr>
      <w:bookmarkStart w:id="16" w:name="evidence-surface"/>
      <w:bookmarkEnd w:id="15"/>
      <w:r>
        <w:t>Evidence surface</w:t>
      </w:r>
    </w:p>
    <w:p w14:paraId="753C1FDE" w14:textId="77777777" w:rsidR="000374CF" w:rsidRDefault="00000000">
      <w:pPr>
        <w:pStyle w:val="FirstParagraph"/>
      </w:pPr>
      <w:r>
        <w:t>Public evidence of authorship and precedence includes dated publications, repositories, archival records, package releases, and project pages associated with this work.</w:t>
      </w:r>
    </w:p>
    <w:p w14:paraId="1E9F7AF7" w14:textId="77777777" w:rsidR="000374CF" w:rsidRDefault="00000000">
      <w:pPr>
        <w:pStyle w:val="BodyText"/>
      </w:pPr>
      <w:r>
        <w:t>A final version of this document should attach a dated evidence table containing: - title - platform - identifier / DOI / URL - publication date - concept evidenced</w:t>
      </w:r>
    </w:p>
    <w:p w14:paraId="673D1E2F" w14:textId="77777777" w:rsidR="000374CF" w:rsidRDefault="00000000">
      <w:r>
        <w:pict w14:anchorId="25476B9F">
          <v:rect id="_x0000_i1034" style="width:0;height:1.5pt" o:hralign="center" o:hrstd="t" o:hr="t"/>
        </w:pict>
      </w:r>
    </w:p>
    <w:p w14:paraId="2EBBE3B7" w14:textId="77777777" w:rsidR="000374CF" w:rsidRDefault="00000000">
      <w:pPr>
        <w:pStyle w:val="Heading2"/>
      </w:pPr>
      <w:bookmarkStart w:id="17" w:name="short-form-statement"/>
      <w:bookmarkEnd w:id="16"/>
      <w:r>
        <w:t>Short form statement</w:t>
      </w:r>
    </w:p>
    <w:p w14:paraId="791BB9DF" w14:textId="77777777" w:rsidR="000374CF" w:rsidRDefault="00000000">
      <w:pPr>
        <w:pStyle w:val="FirstParagraph"/>
      </w:pPr>
      <w:r>
        <w:t>Aurora / PEF / Lens / Governor introduced a distinct governance architecture centered on persistent existence, runtime admissibility, lawful continuation, and forensic accountability.</w:t>
      </w:r>
    </w:p>
    <w:p w14:paraId="37B68A69" w14:textId="77777777" w:rsidR="000374CF" w:rsidRDefault="00000000">
      <w:pPr>
        <w:pStyle w:val="BodyText"/>
      </w:pPr>
      <w:r>
        <w:t xml:space="preserve">Its core insight is that the dangerous failure is often not overtly false output but </w:t>
      </w:r>
      <w:r>
        <w:rPr>
          <w:b/>
          <w:bCs/>
        </w:rPr>
        <w:t>continuation without warrant</w:t>
      </w:r>
      <w:r>
        <w:t>.</w:t>
      </w:r>
    </w:p>
    <w:p w14:paraId="70E8B549" w14:textId="77777777" w:rsidR="000374CF" w:rsidRDefault="00000000">
      <w:pPr>
        <w:pStyle w:val="BodyText"/>
      </w:pPr>
      <w:r>
        <w:t>That distinction, and the architecture built around it, are original to this body of work and should not be collapsed into generic safety patching, moderation, or prompt engineering.</w:t>
      </w:r>
      <w:bookmarkEnd w:id="0"/>
      <w:bookmarkEnd w:id="17"/>
    </w:p>
    <w:sectPr w:rsidR="000374C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CA0F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E426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DD458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32970003">
    <w:abstractNumId w:val="0"/>
  </w:num>
  <w:num w:numId="2" w16cid:durableId="787898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1241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CF"/>
    <w:rsid w:val="000374CF"/>
    <w:rsid w:val="00357BDB"/>
    <w:rsid w:val="006A522D"/>
    <w:rsid w:val="0074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1775"/>
  <w15:docId w15:val="{9C39A110-D151-4EF4-B90C-4870EEA3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Margaret Stokes</dc:creator>
  <cp:keywords/>
  <cp:lastModifiedBy>Margaret Stokes</cp:lastModifiedBy>
  <cp:revision>2</cp:revision>
  <dcterms:created xsi:type="dcterms:W3CDTF">2026-03-17T07:35:00Z</dcterms:created>
  <dcterms:modified xsi:type="dcterms:W3CDTF">2026-03-17T07:35:00Z</dcterms:modified>
</cp:coreProperties>
</file>