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shd w:val="clear" w:fill="8B0000"/>
        <w:spacing w:before="0" w:after="120"/>
        <w:jc w:val="center"/>
        <w:rPr/>
      </w:pPr>
      <w:r>
        <w:rPr>
          <w:rFonts w:eastAsia="Calibri" w:cs="Calibri" w:ascii="Calibri" w:hAnsi="Calibri"/>
          <w:b/>
          <w:bCs/>
          <w:color w:val="FFFFFF"/>
          <w:sz w:val="20"/>
          <w:szCs w:val="20"/>
        </w:rPr>
        <w:t>CONFIDENTIAL</w:t>
      </w:r>
    </w:p>
    <w:p>
      <w:pPr>
        <w:pStyle w:val="Normal"/>
        <w:spacing w:before="600" w:after="200"/>
        <w:jc w:val="center"/>
        <w:rPr/>
      </w:pPr>
      <w:r>
        <w:rPr>
          <w:rFonts w:eastAsia="Calibri" w:cs="Calibri" w:ascii="Calibri" w:hAnsi="Calibri"/>
          <w:b/>
          <w:bCs/>
          <w:color w:val="1F3864"/>
          <w:sz w:val="56"/>
          <w:szCs w:val="56"/>
        </w:rPr>
        <w:t>INCIDENT RESPONSE REPORT</w:t>
      </w:r>
    </w:p>
    <w:p>
      <w:pPr>
        <w:pStyle w:val="Normal"/>
        <w:spacing w:before="0" w:after="600"/>
        <w:jc w:val="center"/>
        <w:rPr/>
      </w:pPr>
      <w:r>
        <w:rPr>
          <w:rFonts w:eastAsia="Calibri" w:cs="Calibri" w:ascii="Calibri" w:hAnsi="Calibri"/>
          <w:i/>
          <w:iCs/>
          <w:color w:val="595959"/>
          <w:sz w:val="28"/>
          <w:szCs w:val="28"/>
        </w:rPr>
        <w:t>Azure Session Hijacking via Chrome Remote Debugging Cookie Theft</w:t>
      </w:r>
    </w:p>
    <w:p>
      <w:pPr>
        <w:pStyle w:val="Normal"/>
        <w:spacing w:before="800" w:after="0"/>
        <w:rPr/>
      </w:pPr>
      <w:r>
        <w:rPr/>
      </w:r>
    </w:p>
    <w:p>
      <w:pPr>
        <w:pStyle w:val="Normal"/>
        <w:spacing w:before="0" w:after="100"/>
        <w:rPr/>
      </w:pPr>
      <w:r>
        <w:rPr>
          <w:rFonts w:eastAsia="Calibri" w:cs="Calibri" w:ascii="Calibri" w:hAnsi="Calibri"/>
          <w:b/>
          <w:bCs/>
        </w:rPr>
        <w:t xml:space="preserve">Report Number: </w:t>
      </w:r>
      <w:r>
        <w:rPr>
          <w:rFonts w:eastAsia="Calibri" w:cs="Calibri" w:ascii="Calibri" w:hAnsi="Calibri"/>
        </w:rPr>
        <w:t>IR-2025-0301-01</w:t>
      </w:r>
    </w:p>
    <w:p>
      <w:pPr>
        <w:pStyle w:val="Normal"/>
        <w:spacing w:before="0" w:after="100"/>
        <w:rPr/>
      </w:pPr>
      <w:r>
        <w:rPr>
          <w:rFonts w:eastAsia="Calibri" w:cs="Calibri" w:ascii="Calibri" w:hAnsi="Calibri"/>
          <w:b/>
          <w:bCs/>
        </w:rPr>
        <w:t xml:space="preserve">Incident Date: </w:t>
      </w:r>
      <w:r>
        <w:rPr>
          <w:rFonts w:eastAsia="Calibri" w:cs="Calibri" w:ascii="Calibri" w:hAnsi="Calibri"/>
        </w:rPr>
        <w:t>March 1, 2025</w:t>
      </w:r>
    </w:p>
    <w:p>
      <w:pPr>
        <w:pStyle w:val="Normal"/>
        <w:spacing w:before="0" w:after="100"/>
        <w:rPr/>
      </w:pPr>
      <w:r>
        <w:rPr>
          <w:rFonts w:eastAsia="Calibri" w:cs="Calibri" w:ascii="Calibri" w:hAnsi="Calibri"/>
          <w:b/>
          <w:bCs/>
        </w:rPr>
        <w:t xml:space="preserve">Report Date: </w:t>
      </w:r>
      <w:r>
        <w:rPr>
          <w:rFonts w:eastAsia="Calibri" w:cs="Calibri" w:ascii="Calibri" w:hAnsi="Calibri"/>
        </w:rPr>
        <w:t>March 4, 2025</w:t>
      </w:r>
    </w:p>
    <w:p>
      <w:pPr>
        <w:pStyle w:val="Normal"/>
        <w:spacing w:before="0" w:after="100"/>
        <w:rPr/>
      </w:pPr>
      <w:r>
        <w:rPr>
          <w:rFonts w:eastAsia="Calibri" w:cs="Calibri" w:ascii="Calibri" w:hAnsi="Calibri"/>
          <w:b/>
          <w:bCs/>
        </w:rPr>
        <w:t xml:space="preserve">Classification: </w:t>
      </w:r>
      <w:r>
        <w:rPr>
          <w:rFonts w:eastAsia="Calibri" w:cs="Calibri" w:ascii="Calibri" w:hAnsi="Calibri"/>
        </w:rPr>
        <w:t>CONFIDENTIAL – Internal Distribution Only</w:t>
      </w:r>
    </w:p>
    <w:p>
      <w:pPr>
        <w:pStyle w:val="Normal"/>
        <w:spacing w:before="0" w:after="100"/>
        <w:rPr/>
      </w:pPr>
      <w:r>
        <w:rPr>
          <w:rFonts w:eastAsia="Calibri" w:cs="Calibri" w:ascii="Calibri" w:hAnsi="Calibri"/>
          <w:b/>
          <w:bCs/>
        </w:rPr>
        <w:t xml:space="preserve">Prepared By: </w:t>
      </w:r>
      <w:r>
        <w:rPr>
          <w:rFonts w:eastAsia="Calibri" w:cs="Calibri" w:ascii="Calibri" w:hAnsi="Calibri"/>
        </w:rPr>
        <w:t>Incident Response Team</w:t>
      </w:r>
    </w:p>
    <w:p>
      <w:pPr>
        <w:pStyle w:val="Normal"/>
        <w:spacing w:before="0" w:after="100"/>
        <w:rPr/>
      </w:pPr>
      <w:r>
        <w:rPr>
          <w:rFonts w:eastAsia="Calibri" w:cs="Calibri" w:ascii="Calibri" w:hAnsi="Calibri"/>
          <w:b/>
          <w:bCs/>
        </w:rPr>
        <w:t xml:space="preserve">Status: </w:t>
      </w:r>
      <w:r>
        <w:rPr>
          <w:rFonts w:eastAsia="Calibri" w:cs="Calibri" w:ascii="Calibri" w:hAnsi="Calibri"/>
        </w:rPr>
        <w:t>Contained – Remediation In Progress</w:t>
      </w:r>
    </w:p>
    <w:p>
      <w:pPr>
        <w:pStyle w:val="Normal"/>
        <w:rPr/>
      </w:pPr>
      <w:r>
        <w:rPr/>
      </w:r>
      <w:r>
        <w:br w:type="page"/>
      </w:r>
    </w:p>
    <w:p>
      <w:pPr>
        <w:pStyle w:val="Normal"/>
        <w:pBdr>
          <w:bottom w:val="single" w:sz="6" w:space="4" w:color="1F3864"/>
        </w:pBdr>
        <w:spacing w:before="0" w:after="160"/>
        <w:rPr/>
      </w:pPr>
      <w:r>
        <w:rPr>
          <w:rFonts w:eastAsia="Calibri" w:cs="Calibri" w:ascii="Calibri" w:hAnsi="Calibri"/>
          <w:b/>
          <w:bCs/>
          <w:color w:val="1F3864"/>
          <w:sz w:val="32"/>
          <w:szCs w:val="32"/>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383_2867630018" w:tooltip="1. Executive Summary">
            <w:r>
              <w:rPr>
                <w:rStyle w:val="IndexLink"/>
              </w:rPr>
              <w:t>1. Executive Summary</w:t>
              <w:tab/>
              <w:t>3</w:t>
            </w:r>
          </w:hyperlink>
        </w:p>
        <w:p>
          <w:pPr>
            <w:pStyle w:val="TOC2"/>
            <w:tabs>
              <w:tab w:val="clear" w:pos="9077"/>
              <w:tab w:val="right" w:pos="9359" w:leader="dot"/>
            </w:tabs>
            <w:rPr/>
          </w:pPr>
          <w:hyperlink w:anchor="__RefHeading___Toc385_2867630018" w:tooltip="What Happened">
            <w:r>
              <w:rPr>
                <w:rStyle w:val="IndexLink"/>
              </w:rPr>
              <w:t>What Happened</w:t>
              <w:tab/>
              <w:t>3</w:t>
            </w:r>
          </w:hyperlink>
        </w:p>
        <w:p>
          <w:pPr>
            <w:pStyle w:val="TOC2"/>
            <w:tabs>
              <w:tab w:val="clear" w:pos="9077"/>
              <w:tab w:val="right" w:pos="9359" w:leader="dot"/>
            </w:tabs>
            <w:rPr/>
          </w:pPr>
          <w:hyperlink w:anchor="__RefHeading___Toc387_2867630018" w:tooltip="Business Impact">
            <w:r>
              <w:rPr>
                <w:rStyle w:val="IndexLink"/>
              </w:rPr>
              <w:t>Business Impact</w:t>
              <w:tab/>
              <w:t>3</w:t>
            </w:r>
          </w:hyperlink>
        </w:p>
        <w:p>
          <w:pPr>
            <w:pStyle w:val="TOC2"/>
            <w:tabs>
              <w:tab w:val="clear" w:pos="9077"/>
              <w:tab w:val="right" w:pos="9359" w:leader="dot"/>
            </w:tabs>
            <w:rPr/>
          </w:pPr>
          <w:hyperlink w:anchor="__RefHeading___Toc389_2867630018" w:tooltip="Current Status">
            <w:r>
              <w:rPr>
                <w:rStyle w:val="IndexLink"/>
              </w:rPr>
              <w:t>Current Status</w:t>
              <w:tab/>
              <w:t>3</w:t>
            </w:r>
          </w:hyperlink>
        </w:p>
        <w:p>
          <w:pPr>
            <w:pStyle w:val="TOC2"/>
            <w:tabs>
              <w:tab w:val="clear" w:pos="9077"/>
              <w:tab w:val="right" w:pos="9359" w:leader="dot"/>
            </w:tabs>
            <w:rPr/>
          </w:pPr>
          <w:hyperlink w:anchor="__RefHeading___Toc391_2867630018" w:tooltip="Key Recommendations">
            <w:r>
              <w:rPr>
                <w:rStyle w:val="IndexLink"/>
              </w:rPr>
              <w:t>Key Recommendations</w:t>
              <w:tab/>
              <w:t>3</w:t>
            </w:r>
          </w:hyperlink>
        </w:p>
        <w:p>
          <w:pPr>
            <w:pStyle w:val="TOC1"/>
            <w:tabs>
              <w:tab w:val="clear" w:pos="9360"/>
              <w:tab w:val="right" w:pos="9359" w:leader="dot"/>
            </w:tabs>
            <w:rPr/>
          </w:pPr>
          <w:hyperlink w:anchor="__RefHeading___Toc393_2867630018" w:tooltip="2. Incident Details">
            <w:r>
              <w:rPr>
                <w:rStyle w:val="IndexLink"/>
              </w:rPr>
              <w:t>2. Incident Details</w:t>
              <w:tab/>
              <w:t>4</w:t>
            </w:r>
          </w:hyperlink>
        </w:p>
        <w:p>
          <w:pPr>
            <w:pStyle w:val="TOC2"/>
            <w:tabs>
              <w:tab w:val="clear" w:pos="9077"/>
              <w:tab w:val="right" w:pos="9359" w:leader="dot"/>
            </w:tabs>
            <w:rPr/>
          </w:pPr>
          <w:hyperlink w:anchor="__RefHeading___Toc395_2867630018" w:tooltip="2.1 Detection">
            <w:r>
              <w:rPr>
                <w:rStyle w:val="IndexLink"/>
              </w:rPr>
              <w:t>2.1 Detection</w:t>
              <w:tab/>
              <w:t>4</w:t>
            </w:r>
          </w:hyperlink>
        </w:p>
        <w:p>
          <w:pPr>
            <w:pStyle w:val="TOC2"/>
            <w:tabs>
              <w:tab w:val="clear" w:pos="9077"/>
              <w:tab w:val="right" w:pos="9359" w:leader="dot"/>
            </w:tabs>
            <w:rPr/>
          </w:pPr>
          <w:hyperlink w:anchor="__RefHeading___Toc397_2867630018" w:tooltip="2.2 Timeline">
            <w:r>
              <w:rPr>
                <w:rStyle w:val="IndexLink"/>
              </w:rPr>
              <w:t>2.2 Timeline</w:t>
              <w:tab/>
              <w:t>4</w:t>
            </w:r>
          </w:hyperlink>
        </w:p>
        <w:p>
          <w:pPr>
            <w:pStyle w:val="TOC2"/>
            <w:tabs>
              <w:tab w:val="clear" w:pos="9077"/>
              <w:tab w:val="right" w:pos="9359" w:leader="dot"/>
            </w:tabs>
            <w:rPr/>
          </w:pPr>
          <w:hyperlink w:anchor="__RefHeading___Toc399_2867630018" w:tooltip="2.3 Scope">
            <w:r>
              <w:rPr>
                <w:rStyle w:val="IndexLink"/>
              </w:rPr>
              <w:t>2.3 Scope</w:t>
              <w:tab/>
              <w:t>4</w:t>
            </w:r>
          </w:hyperlink>
        </w:p>
        <w:p>
          <w:pPr>
            <w:pStyle w:val="TOC2"/>
            <w:tabs>
              <w:tab w:val="clear" w:pos="9077"/>
              <w:tab w:val="right" w:pos="9359" w:leader="dot"/>
            </w:tabs>
            <w:rPr/>
          </w:pPr>
          <w:hyperlink w:anchor="__RefHeading___Toc401_2867630018" w:tooltip="2.4 Attack Chain">
            <w:r>
              <w:rPr>
                <w:rStyle w:val="IndexLink"/>
              </w:rPr>
              <w:t>2.4 Attack Chain</w:t>
              <w:tab/>
              <w:t>4</w:t>
            </w:r>
          </w:hyperlink>
        </w:p>
        <w:p>
          <w:pPr>
            <w:pStyle w:val="TOC1"/>
            <w:tabs>
              <w:tab w:val="clear" w:pos="9360"/>
              <w:tab w:val="right" w:pos="9359" w:leader="dot"/>
            </w:tabs>
            <w:rPr/>
          </w:pPr>
          <w:hyperlink w:anchor="__RefHeading___Toc403_2867630018" w:tooltip="3. Technical Analysis">
            <w:r>
              <w:rPr>
                <w:rStyle w:val="IndexLink"/>
              </w:rPr>
              <w:t>3. Technical Analysis</w:t>
              <w:tab/>
              <w:t>6</w:t>
            </w:r>
          </w:hyperlink>
        </w:p>
        <w:p>
          <w:pPr>
            <w:pStyle w:val="TOC2"/>
            <w:tabs>
              <w:tab w:val="clear" w:pos="9077"/>
              <w:tab w:val="right" w:pos="9359" w:leader="dot"/>
            </w:tabs>
            <w:rPr/>
          </w:pPr>
          <w:hyperlink w:anchor="__RefHeading___Toc405_2867630018" w:tooltip="3.1 MITRE ATT&amp;CK Mapping">
            <w:r>
              <w:rPr>
                <w:rStyle w:val="IndexLink"/>
              </w:rPr>
              <w:t>3.1 MITRE ATT&amp;CK Mapping</w:t>
              <w:tab/>
              <w:t>6</w:t>
            </w:r>
          </w:hyperlink>
        </w:p>
        <w:p>
          <w:pPr>
            <w:pStyle w:val="TOC2"/>
            <w:tabs>
              <w:tab w:val="clear" w:pos="9077"/>
              <w:tab w:val="right" w:pos="9359" w:leader="dot"/>
            </w:tabs>
            <w:rPr/>
          </w:pPr>
          <w:hyperlink w:anchor="__RefHeading___Toc407_2867630018" w:tooltip="3.2 Indicators of Compromise">
            <w:r>
              <w:rPr>
                <w:rStyle w:val="IndexLink"/>
              </w:rPr>
              <w:t>3.2 Indicators of Compromise</w:t>
              <w:tab/>
              <w:t>6</w:t>
            </w:r>
          </w:hyperlink>
        </w:p>
        <w:p>
          <w:pPr>
            <w:pStyle w:val="TOC2"/>
            <w:tabs>
              <w:tab w:val="clear" w:pos="9077"/>
              <w:tab w:val="right" w:pos="9359" w:leader="dot"/>
            </w:tabs>
            <w:rPr/>
          </w:pPr>
          <w:hyperlink w:anchor="__RefHeading___Toc409_2867630018" w:tooltip="3.3 Evidence Collected">
            <w:r>
              <w:rPr>
                <w:rStyle w:val="IndexLink"/>
              </w:rPr>
              <w:t>3.3 Evidence Collected</w:t>
              <w:tab/>
              <w:t>6</w:t>
            </w:r>
          </w:hyperlink>
        </w:p>
        <w:p>
          <w:pPr>
            <w:pStyle w:val="TOC1"/>
            <w:tabs>
              <w:tab w:val="clear" w:pos="9360"/>
              <w:tab w:val="right" w:pos="9359" w:leader="dot"/>
            </w:tabs>
            <w:rPr/>
          </w:pPr>
          <w:hyperlink w:anchor="__RefHeading___Toc411_2867630018" w:tooltip="4. Impact Assessment">
            <w:r>
              <w:rPr>
                <w:rStyle w:val="IndexLink"/>
              </w:rPr>
              <w:t>4. Impact Assessment</w:t>
              <w:tab/>
              <w:t>7</w:t>
            </w:r>
          </w:hyperlink>
        </w:p>
        <w:p>
          <w:pPr>
            <w:pStyle w:val="TOC2"/>
            <w:tabs>
              <w:tab w:val="clear" w:pos="9077"/>
              <w:tab w:val="right" w:pos="9359" w:leader="dot"/>
            </w:tabs>
            <w:rPr/>
          </w:pPr>
          <w:hyperlink w:anchor="__RefHeading___Toc413_2867630018" w:tooltip="4.1 Data at Risk">
            <w:r>
              <w:rPr>
                <w:rStyle w:val="IndexLink"/>
              </w:rPr>
              <w:t>4.1 Data at Risk</w:t>
              <w:tab/>
              <w:t>7</w:t>
            </w:r>
          </w:hyperlink>
        </w:p>
        <w:p>
          <w:pPr>
            <w:pStyle w:val="TOC2"/>
            <w:tabs>
              <w:tab w:val="clear" w:pos="9077"/>
              <w:tab w:val="right" w:pos="9359" w:leader="dot"/>
            </w:tabs>
            <w:rPr/>
          </w:pPr>
          <w:hyperlink w:anchor="__RefHeading___Toc415_2867630018" w:tooltip="4.2 Systems Affected">
            <w:r>
              <w:rPr>
                <w:rStyle w:val="IndexLink"/>
              </w:rPr>
              <w:t>4.2 Systems Affected</w:t>
              <w:tab/>
              <w:t>7</w:t>
            </w:r>
          </w:hyperlink>
        </w:p>
        <w:p>
          <w:pPr>
            <w:pStyle w:val="TOC2"/>
            <w:tabs>
              <w:tab w:val="clear" w:pos="9077"/>
              <w:tab w:val="right" w:pos="9359" w:leader="dot"/>
            </w:tabs>
            <w:rPr/>
          </w:pPr>
          <w:hyperlink w:anchor="__RefHeading___Toc417_2867630018" w:tooltip="4.3 Business Operations Impact">
            <w:r>
              <w:rPr>
                <w:rStyle w:val="IndexLink"/>
              </w:rPr>
              <w:t>4.3 Business Operations Impact</w:t>
              <w:tab/>
              <w:t>7</w:t>
            </w:r>
          </w:hyperlink>
        </w:p>
        <w:p>
          <w:pPr>
            <w:pStyle w:val="TOC1"/>
            <w:tabs>
              <w:tab w:val="clear" w:pos="9360"/>
              <w:tab w:val="right" w:pos="9359" w:leader="dot"/>
            </w:tabs>
            <w:rPr/>
          </w:pPr>
          <w:hyperlink w:anchor="__RefHeading___Toc419_2867630018" w:tooltip="5. Containment &amp; Remediation">
            <w:r>
              <w:rPr>
                <w:rStyle w:val="IndexLink"/>
              </w:rPr>
              <w:t>5. Containment &amp; Remediation</w:t>
              <w:tab/>
              <w:t>8</w:t>
            </w:r>
          </w:hyperlink>
        </w:p>
        <w:p>
          <w:pPr>
            <w:pStyle w:val="TOC2"/>
            <w:tabs>
              <w:tab w:val="clear" w:pos="9077"/>
              <w:tab w:val="right" w:pos="9359" w:leader="dot"/>
            </w:tabs>
            <w:rPr/>
          </w:pPr>
          <w:hyperlink w:anchor="__RefHeading___Toc421_2867630018" w:tooltip="5.1 Immediate Actions Taken">
            <w:r>
              <w:rPr>
                <w:rStyle w:val="IndexLink"/>
              </w:rPr>
              <w:t>5.1 Immediate Actions Taken</w:t>
              <w:tab/>
              <w:t>8</w:t>
            </w:r>
          </w:hyperlink>
        </w:p>
        <w:p>
          <w:pPr>
            <w:pStyle w:val="TOC2"/>
            <w:tabs>
              <w:tab w:val="clear" w:pos="9077"/>
              <w:tab w:val="right" w:pos="9359" w:leader="dot"/>
            </w:tabs>
            <w:rPr/>
          </w:pPr>
          <w:hyperlink w:anchor="__RefHeading___Toc423_2867630018" w:tooltip="5.2 Short-Term Remediation Steps">
            <w:r>
              <w:rPr>
                <w:rStyle w:val="IndexLink"/>
              </w:rPr>
              <w:t>5.2 Short-Term Remediation Steps</w:t>
              <w:tab/>
              <w:t>8</w:t>
            </w:r>
          </w:hyperlink>
        </w:p>
        <w:p>
          <w:pPr>
            <w:pStyle w:val="TOC2"/>
            <w:tabs>
              <w:tab w:val="clear" w:pos="9077"/>
              <w:tab w:val="right" w:pos="9359" w:leader="dot"/>
            </w:tabs>
            <w:rPr/>
          </w:pPr>
          <w:hyperlink w:anchor="__RefHeading___Toc425_2867630018" w:tooltip="5.3 Long-Term Improvements">
            <w:r>
              <w:rPr>
                <w:rStyle w:val="IndexLink"/>
              </w:rPr>
              <w:t>5.3 Long-Term Improvements</w:t>
              <w:tab/>
              <w:t>8</w:t>
            </w:r>
          </w:hyperlink>
        </w:p>
        <w:p>
          <w:pPr>
            <w:pStyle w:val="TOC1"/>
            <w:tabs>
              <w:tab w:val="clear" w:pos="9360"/>
              <w:tab w:val="right" w:pos="9359" w:leader="dot"/>
            </w:tabs>
            <w:rPr/>
          </w:pPr>
          <w:hyperlink w:anchor="__RefHeading___Toc427_2867630018" w:tooltip="6. Recommendations">
            <w:r>
              <w:rPr>
                <w:rStyle w:val="IndexLink"/>
              </w:rPr>
              <w:t>6. Recommendations</w:t>
              <w:tab/>
              <w:t>9</w:t>
            </w:r>
          </w:hyperlink>
        </w:p>
        <w:p>
          <w:pPr>
            <w:pStyle w:val="TOC2"/>
            <w:tabs>
              <w:tab w:val="clear" w:pos="9077"/>
              <w:tab w:val="right" w:pos="9359" w:leader="dot"/>
            </w:tabs>
            <w:rPr/>
          </w:pPr>
          <w:hyperlink w:anchor="__RefHeading___Toc429_2867630018" w:tooltip="6.1 Prioritized Security Improvements">
            <w:r>
              <w:rPr>
                <w:rStyle w:val="IndexLink"/>
              </w:rPr>
              <w:t>6.1 Prioritized Security Improvements</w:t>
              <w:tab/>
              <w:t>9</w:t>
            </w:r>
          </w:hyperlink>
        </w:p>
        <w:p>
          <w:pPr>
            <w:pStyle w:val="TOC2"/>
            <w:tabs>
              <w:tab w:val="clear" w:pos="9077"/>
              <w:tab w:val="right" w:pos="9359" w:leader="dot"/>
            </w:tabs>
            <w:rPr/>
          </w:pPr>
          <w:hyperlink w:anchor="__RefHeading___Toc431_2867630018" w:tooltip="6.2 Detection Gaps to Address">
            <w:r>
              <w:rPr>
                <w:rStyle w:val="IndexLink"/>
              </w:rPr>
              <w:t>6.2 Detection Gaps to Address</w:t>
              <w:tab/>
              <w:t>9</w:t>
            </w:r>
          </w:hyperlink>
        </w:p>
        <w:p>
          <w:pPr>
            <w:pStyle w:val="TOC1"/>
            <w:tabs>
              <w:tab w:val="clear" w:pos="9360"/>
              <w:tab w:val="right" w:pos="9359" w:leader="dot"/>
            </w:tabs>
            <w:rPr/>
          </w:pPr>
          <w:hyperlink w:anchor="__RefHeading___Toc433_2867630018" w:tooltip="7. Appendices">
            <w:r>
              <w:rPr>
                <w:rStyle w:val="IndexLink"/>
              </w:rPr>
              <w:t>7. Appendices</w:t>
              <w:tab/>
              <w:t>10</w:t>
            </w:r>
          </w:hyperlink>
        </w:p>
        <w:p>
          <w:pPr>
            <w:pStyle w:val="TOC2"/>
            <w:tabs>
              <w:tab w:val="clear" w:pos="9077"/>
              <w:tab w:val="right" w:pos="9359" w:leader="dot"/>
            </w:tabs>
            <w:rPr/>
          </w:pPr>
          <w:hyperlink w:anchor="__RefHeading___Toc435_2867630018" w:tooltip="Appendix A: Full IOC List">
            <w:r>
              <w:rPr>
                <w:rStyle w:val="IndexLink"/>
              </w:rPr>
              <w:t>Appendix A: Full IOC List</w:t>
              <w:tab/>
              <w:t>10</w:t>
            </w:r>
          </w:hyperlink>
        </w:p>
        <w:p>
          <w:pPr>
            <w:pStyle w:val="TOC2"/>
            <w:tabs>
              <w:tab w:val="clear" w:pos="9077"/>
              <w:tab w:val="right" w:pos="9359" w:leader="dot"/>
            </w:tabs>
            <w:rPr/>
          </w:pPr>
          <w:hyperlink w:anchor="__RefHeading___Toc437_2867630018" w:tooltip="Appendix B: Raw Timeline">
            <w:r>
              <w:rPr>
                <w:rStyle w:val="IndexLink"/>
              </w:rPr>
              <w:t>Appendix B: Raw Timeline</w:t>
              <w:tab/>
              <w:t>10</w:t>
            </w:r>
          </w:hyperlink>
        </w:p>
        <w:p>
          <w:pPr>
            <w:pStyle w:val="TOC2"/>
            <w:tabs>
              <w:tab w:val="clear" w:pos="9077"/>
              <w:tab w:val="right" w:pos="9359" w:leader="dot"/>
            </w:tabs>
            <w:rPr/>
          </w:pPr>
          <w:hyperlink w:anchor="__RefHeading___Toc439_2867630018" w:tooltip="Appendix C: References">
            <w:r>
              <w:rPr>
                <w:rStyle w:val="IndexLink"/>
              </w:rPr>
              <w:t>Appendix C: References</w:t>
              <w:tab/>
              <w:t>10</w:t>
            </w:r>
          </w:hyperlink>
          <w:r>
            <w:rPr>
              <w:rStyle w:val="IndexLink"/>
            </w:rPr>
            <w:fldChar w:fldCharType="end"/>
          </w:r>
        </w:p>
      </w:sdtContent>
    </w:sdt>
    <w:p>
      <w:pPr>
        <w:pStyle w:val="Normal"/>
        <w:rPr/>
      </w:pPr>
      <w:r>
        <w:rPr/>
      </w:r>
    </w:p>
    <w:p>
      <w:pPr>
        <w:pStyle w:val="Normal"/>
        <w:rPr/>
      </w:pPr>
      <w:r>
        <w:rPr/>
      </w:r>
      <w:r>
        <w:br w:type="page"/>
      </w:r>
    </w:p>
    <w:p>
      <w:pPr>
        <w:pStyle w:val="Heading1"/>
        <w:numPr>
          <w:ilvl w:val="0"/>
          <w:numId w:val="0"/>
        </w:numPr>
        <w:pBdr>
          <w:bottom w:val="single" w:sz="6" w:space="4" w:color="1F3864"/>
        </w:pBdr>
        <w:spacing w:before="0" w:after="160"/>
        <w:outlineLvl w:val="0"/>
        <w:rPr/>
      </w:pPr>
      <w:bookmarkStart w:id="0" w:name="__RefHeading___Toc383_2867630018"/>
      <w:bookmarkEnd w:id="0"/>
      <w:r>
        <w:rPr>
          <w:rFonts w:eastAsia="Calibri" w:cs="Calibri" w:ascii="Calibri" w:hAnsi="Calibri"/>
          <w:b/>
          <w:bCs/>
          <w:color w:val="1F3864"/>
        </w:rPr>
        <w:t>1. Executive Summary</w:t>
      </w:r>
    </w:p>
    <w:p>
      <w:pPr>
        <w:pStyle w:val="Heading2"/>
        <w:numPr>
          <w:ilvl w:val="0"/>
          <w:numId w:val="0"/>
        </w:numPr>
        <w:spacing w:before="280" w:after="120"/>
        <w:outlineLvl w:val="1"/>
        <w:rPr/>
      </w:pPr>
      <w:bookmarkStart w:id="1" w:name="__RefHeading___Toc385_2867630018"/>
      <w:bookmarkEnd w:id="1"/>
      <w:r>
        <w:rPr>
          <w:rFonts w:eastAsia="Calibri" w:cs="Calibri" w:ascii="Calibri" w:hAnsi="Calibri"/>
          <w:b/>
          <w:bCs/>
          <w:color w:val="1F3864"/>
        </w:rPr>
        <w:t>What Happened</w:t>
      </w:r>
    </w:p>
    <w:p>
      <w:pPr>
        <w:pStyle w:val="Normal"/>
        <w:spacing w:lineRule="auto" w:line="276" w:before="0" w:after="160"/>
        <w:rPr/>
      </w:pPr>
      <w:r>
        <w:rPr>
          <w:rFonts w:eastAsia="Calibri" w:cs="Calibri" w:ascii="Calibri" w:hAnsi="Calibri"/>
        </w:rPr>
        <w:t>On March 1, 2025, the organization detected unauthorized access to Azure resources resulting from theft of an active browser session cookie. The attacker enabled Chrome's remote debugging interface on a compromised endpoint, used a PowerShell script to connect to the debugging endpoint and extract authenticated session cookies, and then replayed those cookies to sign in to Azure Active Directory (Azure AD) as the victim user without needing their password or multi-factor authentication (MFA) credentials.</w:t>
      </w:r>
    </w:p>
    <w:p>
      <w:pPr>
        <w:pStyle w:val="Heading2"/>
        <w:numPr>
          <w:ilvl w:val="0"/>
          <w:numId w:val="0"/>
        </w:numPr>
        <w:spacing w:before="280" w:after="120"/>
        <w:outlineLvl w:val="1"/>
        <w:rPr/>
      </w:pPr>
      <w:bookmarkStart w:id="2" w:name="__RefHeading___Toc387_2867630018"/>
      <w:bookmarkEnd w:id="2"/>
      <w:r>
        <w:rPr>
          <w:rFonts w:eastAsia="Calibri" w:cs="Calibri" w:ascii="Calibri" w:hAnsi="Calibri"/>
          <w:b/>
          <w:bCs/>
          <w:color w:val="1F3864"/>
        </w:rPr>
        <w:t>Business Impact</w:t>
      </w:r>
    </w:p>
    <w:p>
      <w:pPr>
        <w:pStyle w:val="Normal"/>
        <w:spacing w:lineRule="auto" w:line="276" w:before="0" w:after="160"/>
        <w:rPr/>
      </w:pPr>
      <w:r>
        <w:rPr>
          <w:rFonts w:eastAsia="Calibri" w:cs="Calibri" w:ascii="Calibri" w:hAnsi="Calibri"/>
        </w:rPr>
        <w:t>A single user account was compromised, and the attacker used the hijacked session to enumerate Azure AD users and groups, indicating a reconnaissance phase consistent with preparation for further lateral movement or privilege escalation. As of this report, there is no confirmed evidence of data exfiltration; however, the enumeration activity means group membership, organizational structure, and account metadata for the tenant should be treated as exposed.</w:t>
      </w:r>
    </w:p>
    <w:p>
      <w:pPr>
        <w:pStyle w:val="Heading2"/>
        <w:numPr>
          <w:ilvl w:val="0"/>
          <w:numId w:val="0"/>
        </w:numPr>
        <w:spacing w:before="280" w:after="120"/>
        <w:outlineLvl w:val="1"/>
        <w:rPr/>
      </w:pPr>
      <w:bookmarkStart w:id="3" w:name="__RefHeading___Toc389_2867630018"/>
      <w:bookmarkEnd w:id="3"/>
      <w:r>
        <w:rPr>
          <w:rFonts w:eastAsia="Calibri" w:cs="Calibri" w:ascii="Calibri" w:hAnsi="Calibri"/>
          <w:b/>
          <w:bCs/>
          <w:color w:val="1F3864"/>
        </w:rPr>
        <w:t>Current Status</w:t>
      </w:r>
    </w:p>
    <w:p>
      <w:pPr>
        <w:pStyle w:val="Normal"/>
        <w:spacing w:lineRule="auto" w:line="276" w:before="0" w:after="160"/>
        <w:rPr/>
      </w:pPr>
      <w:r>
        <w:rPr>
          <w:rFonts w:eastAsia="Calibri" w:cs="Calibri" w:ascii="Calibri" w:hAnsi="Calibri"/>
        </w:rPr>
        <w:t>The incident has been contained. The affected user account's Azure AD sessions have been revoked and a password reset has been initiated. Investigation into the initial access vector on the endpoint and the full scope of enumerated objects is ongoing.</w:t>
      </w:r>
    </w:p>
    <w:p>
      <w:pPr>
        <w:pStyle w:val="Heading2"/>
        <w:numPr>
          <w:ilvl w:val="0"/>
          <w:numId w:val="0"/>
        </w:numPr>
        <w:spacing w:before="280" w:after="120"/>
        <w:outlineLvl w:val="1"/>
        <w:rPr/>
      </w:pPr>
      <w:bookmarkStart w:id="4" w:name="__RefHeading___Toc391_2867630018"/>
      <w:bookmarkEnd w:id="4"/>
      <w:r>
        <w:rPr>
          <w:rFonts w:eastAsia="Calibri" w:cs="Calibri" w:ascii="Calibri" w:hAnsi="Calibri"/>
          <w:b/>
          <w:bCs/>
          <w:color w:val="1F3864"/>
        </w:rPr>
        <w:t>Key Recommendations</w:t>
      </w:r>
    </w:p>
    <w:p>
      <w:pPr>
        <w:pStyle w:val="ListParagraph"/>
        <w:numPr>
          <w:ilvl w:val="0"/>
          <w:numId w:val="4"/>
        </w:numPr>
        <w:spacing w:before="0" w:after="80"/>
        <w:rPr/>
      </w:pPr>
      <w:r>
        <w:rPr>
          <w:rFonts w:eastAsia="Calibri" w:cs="Calibri" w:ascii="Calibri" w:hAnsi="Calibri"/>
        </w:rPr>
        <w:t>Force a password reset and revoke all active Azure AD sessions and refresh tokens for the affected user (completed – see Section 6).</w:t>
      </w:r>
    </w:p>
    <w:p>
      <w:pPr>
        <w:pStyle w:val="ListParagraph"/>
        <w:numPr>
          <w:ilvl w:val="0"/>
          <w:numId w:val="1"/>
        </w:numPr>
        <w:spacing w:before="0" w:after="80"/>
        <w:rPr/>
      </w:pPr>
      <w:r>
        <w:rPr>
          <w:rFonts w:eastAsia="Calibri" w:cs="Calibri" w:ascii="Calibri" w:hAnsi="Calibri"/>
        </w:rPr>
        <w:t>Implement Conditional Access policies restricting sign-ins by location, device compliance, and sign-in risk.</w:t>
      </w:r>
    </w:p>
    <w:p>
      <w:pPr>
        <w:pStyle w:val="ListParagraph"/>
        <w:numPr>
          <w:ilvl w:val="0"/>
          <w:numId w:val="1"/>
        </w:numPr>
        <w:spacing w:before="0" w:after="80"/>
        <w:rPr/>
      </w:pPr>
      <w:r>
        <w:rPr>
          <w:rFonts w:eastAsia="Calibri" w:cs="Calibri" w:ascii="Calibri" w:hAnsi="Calibri"/>
        </w:rPr>
        <w:t>Deploy detection logic for Chrome (and other browsers) launched with remote debugging flags (e.g., --remote-debugging-port).</w:t>
      </w:r>
    </w:p>
    <w:p>
      <w:pPr>
        <w:pStyle w:val="ListParagraph"/>
        <w:numPr>
          <w:ilvl w:val="0"/>
          <w:numId w:val="1"/>
        </w:numPr>
        <w:spacing w:before="0" w:after="80"/>
        <w:rPr/>
      </w:pPr>
      <w:r>
        <w:rPr>
          <w:rFonts w:eastAsia="Calibri" w:cs="Calibri" w:ascii="Calibri" w:hAnsi="Calibri"/>
        </w:rPr>
        <w:t>Review and harden endpoint policies to block or alert on debugging-port usage by browser processes.</w:t>
      </w:r>
    </w:p>
    <w:p>
      <w:pPr>
        <w:pStyle w:val="Normal"/>
        <w:rPr/>
      </w:pPr>
      <w:r>
        <w:rPr/>
      </w:r>
      <w:r>
        <w:br w:type="page"/>
      </w:r>
    </w:p>
    <w:p>
      <w:pPr>
        <w:pStyle w:val="Heading1"/>
        <w:numPr>
          <w:ilvl w:val="0"/>
          <w:numId w:val="0"/>
        </w:numPr>
        <w:pBdr>
          <w:bottom w:val="single" w:sz="6" w:space="4" w:color="1F3864"/>
        </w:pBdr>
        <w:spacing w:before="0" w:after="160"/>
        <w:outlineLvl w:val="0"/>
        <w:rPr/>
      </w:pPr>
      <w:bookmarkStart w:id="5" w:name="__RefHeading___Toc393_2867630018"/>
      <w:bookmarkEnd w:id="5"/>
      <w:r>
        <w:rPr>
          <w:rFonts w:eastAsia="Calibri" w:cs="Calibri" w:ascii="Calibri" w:hAnsi="Calibri"/>
          <w:b/>
          <w:bCs/>
          <w:color w:val="1F3864"/>
        </w:rPr>
        <w:t>2. Incident Details</w:t>
      </w:r>
    </w:p>
    <w:p>
      <w:pPr>
        <w:pStyle w:val="Heading2"/>
        <w:numPr>
          <w:ilvl w:val="0"/>
          <w:numId w:val="0"/>
        </w:numPr>
        <w:spacing w:before="280" w:after="120"/>
        <w:outlineLvl w:val="1"/>
        <w:rPr/>
      </w:pPr>
      <w:bookmarkStart w:id="6" w:name="__RefHeading___Toc395_2867630018"/>
      <w:bookmarkEnd w:id="6"/>
      <w:r>
        <w:rPr>
          <w:rFonts w:eastAsia="Calibri" w:cs="Calibri" w:ascii="Calibri" w:hAnsi="Calibri"/>
          <w:b/>
          <w:bCs/>
          <w:color w:val="1F3864"/>
        </w:rPr>
        <w:t>2.1 Detection</w:t>
      </w:r>
    </w:p>
    <w:p>
      <w:pPr>
        <w:pStyle w:val="Normal"/>
        <w:spacing w:lineRule="auto" w:line="276" w:before="0" w:after="160"/>
        <w:rPr/>
      </w:pPr>
      <w:r>
        <w:rPr>
          <w:rFonts w:eastAsia="Calibri" w:cs="Calibri" w:ascii="Calibri" w:hAnsi="Calibri"/>
        </w:rPr>
        <w:t>The activity was identified through review of endpoint process execution logs and Azure AD sign-in logs, which showed a Chrome process launched with the remote debugging flag followed shortly afterward by a PowerShell process interacting with the local debugging port — a pattern consistent with known session-cookie theft tooling. Correlating the endpoint activity with a subsequent Azure AD sign-in from an unfamiliar external IP address on the same user account confirmed that the stolen session had been used against the cloud tenant.</w:t>
      </w:r>
    </w:p>
    <w:p>
      <w:pPr>
        <w:pStyle w:val="Heading2"/>
        <w:numPr>
          <w:ilvl w:val="0"/>
          <w:numId w:val="0"/>
        </w:numPr>
        <w:spacing w:before="280" w:after="120"/>
        <w:outlineLvl w:val="1"/>
        <w:rPr/>
      </w:pPr>
      <w:bookmarkStart w:id="7" w:name="__RefHeading___Toc397_2867630018"/>
      <w:bookmarkEnd w:id="7"/>
      <w:r>
        <w:rPr>
          <w:rFonts w:eastAsia="Calibri" w:cs="Calibri" w:ascii="Calibri" w:hAnsi="Calibri"/>
          <w:b/>
          <w:bCs/>
          <w:color w:val="1F3864"/>
        </w:rPr>
        <w:t>2.2 Timeline</w:t>
      </w:r>
    </w:p>
    <w:tbl>
      <w:tblPr>
        <w:tblW w:w="10000" w:type="dxa"/>
        <w:jc w:val="left"/>
        <w:tblInd w:w="105" w:type="dxa"/>
        <w:tblLayout w:type="fixed"/>
        <w:tblCellMar>
          <w:top w:w="80" w:type="dxa"/>
          <w:left w:w="100" w:type="dxa"/>
          <w:bottom w:w="80" w:type="dxa"/>
          <w:right w:w="100" w:type="dxa"/>
        </w:tblCellMar>
      </w:tblPr>
      <w:tblGrid>
        <w:gridCol w:w="2000"/>
        <w:gridCol w:w="2400"/>
        <w:gridCol w:w="5600"/>
      </w:tblGrid>
      <w:tr>
        <w:trPr>
          <w:tblHeader w:val="true"/>
        </w:trPr>
        <w:tc>
          <w:tcPr>
            <w:tcW w:w="20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left"/>
              <w:rPr/>
            </w:pPr>
            <w:r>
              <w:rPr>
                <w:rFonts w:eastAsia="Calibri" w:cs="Calibri" w:ascii="Calibri" w:hAnsi="Calibri"/>
                <w:b/>
                <w:bCs/>
                <w:color w:val="FFFFFF"/>
                <w:sz w:val="20"/>
                <w:szCs w:val="20"/>
              </w:rPr>
              <w:t>Timestamp (UTC)</w:t>
            </w:r>
          </w:p>
        </w:tc>
        <w:tc>
          <w:tcPr>
            <w:tcW w:w="24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left"/>
              <w:rPr/>
            </w:pPr>
            <w:r>
              <w:rPr>
                <w:rFonts w:eastAsia="Calibri" w:cs="Calibri" w:ascii="Calibri" w:hAnsi="Calibri"/>
                <w:b/>
                <w:bCs/>
                <w:color w:val="FFFFFF"/>
                <w:sz w:val="20"/>
                <w:szCs w:val="20"/>
              </w:rPr>
              <w:t>Stage</w:t>
            </w:r>
          </w:p>
        </w:tc>
        <w:tc>
          <w:tcPr>
            <w:tcW w:w="56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left"/>
              <w:rPr/>
            </w:pPr>
            <w:r>
              <w:rPr>
                <w:rFonts w:eastAsia="Calibri" w:cs="Calibri" w:ascii="Calibri" w:hAnsi="Calibri"/>
                <w:b/>
                <w:bCs/>
                <w:color w:val="FFFFFF"/>
                <w:sz w:val="20"/>
                <w:szCs w:val="20"/>
              </w:rPr>
              <w:t>Event</w:t>
            </w:r>
          </w:p>
        </w:tc>
      </w:tr>
      <w:tr>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14:32:15</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Initial Access / Execution</w:t>
            </w:r>
          </w:p>
        </w:tc>
        <w:tc>
          <w:tcPr>
            <w:tcW w:w="5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Chrome launched on victim endpoint with --remote-debugging-port=9222, exposing the browser's DevTools protocol.</w:t>
            </w:r>
          </w:p>
        </w:tc>
      </w:tr>
      <w:tr>
        <w:trPr/>
        <w:tc>
          <w:tcPr>
            <w:tcW w:w="20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14:33:00</w:t>
            </w:r>
          </w:p>
        </w:tc>
        <w:tc>
          <w:tcPr>
            <w:tcW w:w="24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Credential Access</w:t>
            </w:r>
          </w:p>
        </w:tc>
        <w:tc>
          <w:tcPr>
            <w:tcW w:w="5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PowerShell script observed connecting to the local Chrome remote debugging endpoint (localhost:9222).</w:t>
            </w:r>
          </w:p>
        </w:tc>
      </w:tr>
      <w:tr>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14:35:22</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Collection / Exfiltration</w:t>
            </w:r>
          </w:p>
        </w:tc>
        <w:tc>
          <w:tcPr>
            <w:tcW w:w="5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Session cookies extracted from the browser process and exfiltrated from the endpoint.</w:t>
            </w:r>
          </w:p>
        </w:tc>
      </w:tr>
      <w:tr>
        <w:trPr/>
        <w:tc>
          <w:tcPr>
            <w:tcW w:w="20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14:45:00</w:t>
            </w:r>
          </w:p>
        </w:tc>
        <w:tc>
          <w:tcPr>
            <w:tcW w:w="24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Initial Access (Cloud)</w:t>
            </w:r>
          </w:p>
        </w:tc>
        <w:tc>
          <w:tcPr>
            <w:tcW w:w="5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Sign-in to Azure AD from attacker-controlled IP 203.0.113.42 using the stolen session cookie – no password or MFA challenge triggered.</w:t>
            </w:r>
          </w:p>
        </w:tc>
      </w:tr>
      <w:tr>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14:52:00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Discovery</w:t>
            </w:r>
          </w:p>
        </w:tc>
        <w:tc>
          <w:tcPr>
            <w:tcW w:w="5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Attacker enumerated Azure AD users and groups from the hijacked session.</w:t>
            </w:r>
          </w:p>
        </w:tc>
      </w:tr>
    </w:tbl>
    <w:p>
      <w:pPr>
        <w:pStyle w:val="Normal"/>
        <w:spacing w:before="200" w:after="0"/>
        <w:rPr/>
      </w:pPr>
      <w:r>
        <w:rPr/>
      </w:r>
    </w:p>
    <w:p>
      <w:pPr>
        <w:pStyle w:val="Heading2"/>
        <w:numPr>
          <w:ilvl w:val="0"/>
          <w:numId w:val="0"/>
        </w:numPr>
        <w:spacing w:before="280" w:after="120"/>
        <w:outlineLvl w:val="1"/>
        <w:rPr/>
      </w:pPr>
      <w:bookmarkStart w:id="8" w:name="__RefHeading___Toc399_2867630018"/>
      <w:bookmarkEnd w:id="8"/>
      <w:r>
        <w:rPr>
          <w:rFonts w:eastAsia="Calibri" w:cs="Calibri" w:ascii="Calibri" w:hAnsi="Calibri"/>
          <w:b/>
          <w:bCs/>
          <w:color w:val="1F3864"/>
        </w:rPr>
        <w:t>2.3 Scope</w:t>
      </w:r>
    </w:p>
    <w:p>
      <w:pPr>
        <w:pStyle w:val="Normal"/>
        <w:spacing w:lineRule="auto" w:line="276" w:before="0" w:after="160"/>
        <w:rPr/>
      </w:pPr>
      <w:r>
        <w:rPr>
          <w:rFonts w:eastAsia="Calibri" w:cs="Calibri" w:ascii="Calibri" w:hAnsi="Calibri"/>
        </w:rPr>
        <w:t>The following systems and identities were affected by this incident:</w:t>
      </w:r>
    </w:p>
    <w:p>
      <w:pPr>
        <w:pStyle w:val="ListParagraph"/>
        <w:numPr>
          <w:ilvl w:val="0"/>
          <w:numId w:val="1"/>
        </w:numPr>
        <w:spacing w:before="0" w:after="80"/>
        <w:rPr/>
      </w:pPr>
      <w:r>
        <w:rPr>
          <w:rFonts w:eastAsia="Calibri" w:cs="Calibri" w:ascii="Calibri" w:hAnsi="Calibri"/>
        </w:rPr>
        <w:t>One (1) end-user workstation – source of the Chrome remote-debugging session and cookie theft.</w:t>
      </w:r>
    </w:p>
    <w:p>
      <w:pPr>
        <w:pStyle w:val="ListParagraph"/>
        <w:numPr>
          <w:ilvl w:val="0"/>
          <w:numId w:val="1"/>
        </w:numPr>
        <w:spacing w:before="0" w:after="80"/>
        <w:rPr/>
      </w:pPr>
      <w:r>
        <w:rPr>
          <w:rFonts w:eastAsia="Calibri" w:cs="Calibri" w:ascii="Calibri" w:hAnsi="Calibri"/>
        </w:rPr>
        <w:t>One (1) Azure AD user account – credentials/session hijacked and used for unauthorized sign-in.</w:t>
      </w:r>
    </w:p>
    <w:p>
      <w:pPr>
        <w:pStyle w:val="ListParagraph"/>
        <w:numPr>
          <w:ilvl w:val="0"/>
          <w:numId w:val="1"/>
        </w:numPr>
        <w:spacing w:before="0" w:after="80"/>
        <w:rPr/>
      </w:pPr>
      <w:r>
        <w:rPr>
          <w:rFonts w:eastAsia="Calibri" w:cs="Calibri" w:ascii="Calibri" w:hAnsi="Calibri"/>
        </w:rPr>
        <w:t>Azure AD tenant directory objects – user and group listings were enumerated by the attacker.</w:t>
      </w:r>
    </w:p>
    <w:p>
      <w:pPr>
        <w:pStyle w:val="Normal"/>
        <w:spacing w:lineRule="auto" w:line="276" w:before="0" w:after="160"/>
        <w:rPr/>
      </w:pPr>
      <w:r>
        <w:rPr>
          <w:rFonts w:eastAsia="Calibri" w:cs="Calibri" w:ascii="Calibri" w:hAnsi="Calibri"/>
        </w:rPr>
        <w:t>No additional endpoints, service accounts, or downstream cloud resources (e.g., storage, mail, SharePoint) have been confirmed as accessed at the time of this report; the investigation into lateral scope is ongoing.</w:t>
      </w:r>
    </w:p>
    <w:p>
      <w:pPr>
        <w:pStyle w:val="Heading2"/>
        <w:numPr>
          <w:ilvl w:val="0"/>
          <w:numId w:val="0"/>
        </w:numPr>
        <w:spacing w:before="280" w:after="120"/>
        <w:outlineLvl w:val="1"/>
        <w:rPr/>
      </w:pPr>
      <w:bookmarkStart w:id="9" w:name="__RefHeading___Toc401_2867630018"/>
      <w:bookmarkEnd w:id="9"/>
      <w:r>
        <w:rPr>
          <w:rFonts w:eastAsia="Calibri" w:cs="Calibri" w:ascii="Calibri" w:hAnsi="Calibri"/>
          <w:b/>
          <w:bCs/>
          <w:color w:val="1F3864"/>
        </w:rPr>
        <w:t>2.4 Attack Chain</w:t>
      </w:r>
    </w:p>
    <w:p>
      <w:pPr>
        <w:pStyle w:val="ListParagraph"/>
        <w:numPr>
          <w:ilvl w:val="0"/>
          <w:numId w:val="5"/>
        </w:numPr>
        <w:spacing w:before="0" w:after="80"/>
        <w:rPr/>
      </w:pPr>
      <w:r>
        <w:rPr>
          <w:rFonts w:eastAsia="Calibri" w:cs="Calibri" w:ascii="Calibri" w:hAnsi="Calibri"/>
        </w:rPr>
        <w:t>Attacker gains code execution or interactive access on the victim's endpoint (initial foothold outside the scope of the cookie-theft activity captured here).</w:t>
      </w:r>
    </w:p>
    <w:p>
      <w:pPr>
        <w:pStyle w:val="ListParagraph"/>
        <w:numPr>
          <w:ilvl w:val="0"/>
          <w:numId w:val="2"/>
        </w:numPr>
        <w:spacing w:before="0" w:after="80"/>
        <w:rPr/>
      </w:pPr>
      <w:r>
        <w:rPr>
          <w:rFonts w:eastAsia="Calibri" w:cs="Calibri" w:ascii="Calibri" w:hAnsi="Calibri"/>
        </w:rPr>
        <w:t>Attacker launches or relaunches Google Chrome with the --remote-debugging-port=9222 flag, exposing the Chrome DevTools Protocol (CDP) on the local machine.</w:t>
      </w:r>
    </w:p>
    <w:p>
      <w:pPr>
        <w:pStyle w:val="ListParagraph"/>
        <w:numPr>
          <w:ilvl w:val="0"/>
          <w:numId w:val="2"/>
        </w:numPr>
        <w:spacing w:before="0" w:after="80"/>
        <w:rPr/>
      </w:pPr>
      <w:r>
        <w:rPr>
          <w:rFonts w:eastAsia="Calibri" w:cs="Calibri" w:ascii="Calibri" w:hAnsi="Calibri"/>
        </w:rPr>
        <w:t>Attacker runs a PowerShell script that connects to the CDP endpoint (http://localhost:9222) to enumerate open tabs and retrieve session state.</w:t>
      </w:r>
    </w:p>
    <w:p>
      <w:pPr>
        <w:pStyle w:val="ListParagraph"/>
        <w:numPr>
          <w:ilvl w:val="0"/>
          <w:numId w:val="2"/>
        </w:numPr>
        <w:spacing w:before="0" w:after="80"/>
        <w:rPr/>
      </w:pPr>
      <w:r>
        <w:rPr>
          <w:rFonts w:eastAsia="Calibri" w:cs="Calibri" w:ascii="Calibri" w:hAnsi="Calibri"/>
        </w:rPr>
        <w:t>Attacker extracts authentication cookies for Azure-related domains directly from the browser's session via the CDP interface, bypassing the need to touch disk-based cookie stores.</w:t>
      </w:r>
    </w:p>
    <w:p>
      <w:pPr>
        <w:pStyle w:val="ListParagraph"/>
        <w:numPr>
          <w:ilvl w:val="0"/>
          <w:numId w:val="2"/>
        </w:numPr>
        <w:spacing w:before="0" w:after="80"/>
        <w:rPr/>
      </w:pPr>
      <w:r>
        <w:rPr>
          <w:rFonts w:eastAsia="Calibri" w:cs="Calibri" w:ascii="Calibri" w:hAnsi="Calibri"/>
        </w:rPr>
        <w:t>Stolen cookies are exfiltrated from the endpoint to attacker-controlled infrastructure.</w:t>
      </w:r>
    </w:p>
    <w:p>
      <w:pPr>
        <w:pStyle w:val="ListParagraph"/>
        <w:numPr>
          <w:ilvl w:val="0"/>
          <w:numId w:val="2"/>
        </w:numPr>
        <w:spacing w:before="0" w:after="80"/>
        <w:rPr/>
      </w:pPr>
      <w:r>
        <w:rPr>
          <w:rFonts w:eastAsia="Calibri" w:cs="Calibri" w:ascii="Calibri" w:hAnsi="Calibri"/>
        </w:rPr>
        <w:t>Attacker imports the stolen cookie into their own browser session and navigates to Azure AD, successfully authenticating as the victim user without a password or MFA prompt, since the session was already fully authenticated.</w:t>
      </w:r>
    </w:p>
    <w:p>
      <w:pPr>
        <w:pStyle w:val="ListParagraph"/>
        <w:numPr>
          <w:ilvl w:val="0"/>
          <w:numId w:val="2"/>
        </w:numPr>
        <w:spacing w:before="0" w:after="80"/>
        <w:rPr/>
      </w:pPr>
      <w:r>
        <w:rPr>
          <w:rFonts w:eastAsia="Calibri" w:cs="Calibri" w:ascii="Calibri" w:hAnsi="Calibri"/>
        </w:rPr>
        <w:t>Attacker uses the hijacked session to enumerate Azure AD users and groups, consistent with reconnaissance for follow-on privilege escalation or lateral movement.</w:t>
      </w:r>
    </w:p>
    <w:p>
      <w:pPr>
        <w:pStyle w:val="Normal"/>
        <w:rPr/>
      </w:pPr>
      <w:r>
        <w:rPr/>
      </w:r>
      <w:r>
        <w:br w:type="page"/>
      </w:r>
    </w:p>
    <w:p>
      <w:pPr>
        <w:pStyle w:val="Heading1"/>
        <w:numPr>
          <w:ilvl w:val="0"/>
          <w:numId w:val="0"/>
        </w:numPr>
        <w:pBdr>
          <w:bottom w:val="single" w:sz="6" w:space="4" w:color="1F3864"/>
        </w:pBdr>
        <w:spacing w:before="0" w:after="160"/>
        <w:outlineLvl w:val="0"/>
        <w:rPr/>
      </w:pPr>
      <w:bookmarkStart w:id="10" w:name="__RefHeading___Toc403_2867630018"/>
      <w:bookmarkEnd w:id="10"/>
      <w:r>
        <w:rPr>
          <w:rFonts w:eastAsia="Calibri" w:cs="Calibri" w:ascii="Calibri" w:hAnsi="Calibri"/>
          <w:b/>
          <w:bCs/>
          <w:color w:val="1F3864"/>
        </w:rPr>
        <w:t>3. Technical Analysis</w:t>
      </w:r>
    </w:p>
    <w:p>
      <w:pPr>
        <w:pStyle w:val="Heading2"/>
        <w:numPr>
          <w:ilvl w:val="0"/>
          <w:numId w:val="0"/>
        </w:numPr>
        <w:spacing w:before="280" w:after="120"/>
        <w:outlineLvl w:val="1"/>
        <w:rPr/>
      </w:pPr>
      <w:bookmarkStart w:id="11" w:name="__RefHeading___Toc405_2867630018"/>
      <w:bookmarkEnd w:id="11"/>
      <w:r>
        <w:rPr>
          <w:rFonts w:eastAsia="Calibri" w:cs="Calibri" w:ascii="Calibri" w:hAnsi="Calibri"/>
          <w:b/>
          <w:bCs/>
          <w:color w:val="1F3864"/>
        </w:rPr>
        <w:t>3.1 MITRE ATT&amp;CK Mapping</w:t>
      </w:r>
    </w:p>
    <w:tbl>
      <w:tblPr>
        <w:tblW w:w="10600" w:type="dxa"/>
        <w:jc w:val="left"/>
        <w:tblInd w:w="105" w:type="dxa"/>
        <w:tblLayout w:type="fixed"/>
        <w:tblCellMar>
          <w:top w:w="80" w:type="dxa"/>
          <w:left w:w="100" w:type="dxa"/>
          <w:bottom w:w="80" w:type="dxa"/>
          <w:right w:w="100" w:type="dxa"/>
        </w:tblCellMar>
      </w:tblPr>
      <w:tblGrid>
        <w:gridCol w:w="1799"/>
        <w:gridCol w:w="1301"/>
        <w:gridCol w:w="2400"/>
        <w:gridCol w:w="3800"/>
        <w:gridCol w:w="1300"/>
      </w:tblGrid>
      <w:tr>
        <w:trPr>
          <w:tblHeader w:val="true"/>
        </w:trPr>
        <w:tc>
          <w:tcPr>
            <w:tcW w:w="1799"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left"/>
              <w:rPr/>
            </w:pPr>
            <w:r>
              <w:rPr>
                <w:rFonts w:eastAsia="Calibri" w:cs="Calibri" w:ascii="Calibri" w:hAnsi="Calibri"/>
                <w:b/>
                <w:bCs/>
                <w:color w:val="FFFFFF"/>
                <w:sz w:val="20"/>
                <w:szCs w:val="20"/>
              </w:rPr>
              <w:t>Tactic</w:t>
            </w:r>
          </w:p>
        </w:tc>
        <w:tc>
          <w:tcPr>
            <w:tcW w:w="1301"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left"/>
              <w:rPr/>
            </w:pPr>
            <w:r>
              <w:rPr>
                <w:rFonts w:eastAsia="Calibri" w:cs="Calibri" w:ascii="Calibri" w:hAnsi="Calibri"/>
                <w:b/>
                <w:bCs/>
                <w:color w:val="FFFFFF"/>
                <w:sz w:val="20"/>
                <w:szCs w:val="20"/>
              </w:rPr>
              <w:t>Technique ID</w:t>
            </w:r>
          </w:p>
        </w:tc>
        <w:tc>
          <w:tcPr>
            <w:tcW w:w="24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left"/>
              <w:rPr/>
            </w:pPr>
            <w:r>
              <w:rPr>
                <w:rFonts w:eastAsia="Calibri" w:cs="Calibri" w:ascii="Calibri" w:hAnsi="Calibri"/>
                <w:b/>
                <w:bCs/>
                <w:color w:val="FFFFFF"/>
                <w:sz w:val="20"/>
                <w:szCs w:val="20"/>
              </w:rPr>
              <w:t>Technique Name</w:t>
            </w:r>
          </w:p>
        </w:tc>
        <w:tc>
          <w:tcPr>
            <w:tcW w:w="38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left"/>
              <w:rPr/>
            </w:pPr>
            <w:r>
              <w:rPr>
                <w:rFonts w:eastAsia="Calibri" w:cs="Calibri" w:ascii="Calibri" w:hAnsi="Calibri"/>
                <w:b/>
                <w:bCs/>
                <w:color w:val="FFFFFF"/>
                <w:sz w:val="20"/>
                <w:szCs w:val="20"/>
              </w:rPr>
              <w:t>Description</w:t>
            </w:r>
          </w:p>
        </w:tc>
        <w:tc>
          <w:tcPr>
            <w:tcW w:w="13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left"/>
              <w:rPr/>
            </w:pPr>
            <w:r>
              <w:rPr>
                <w:rFonts w:eastAsia="Calibri" w:cs="Calibri" w:ascii="Calibri" w:hAnsi="Calibri"/>
                <w:b/>
                <w:bCs/>
                <w:color w:val="FFFFFF"/>
                <w:sz w:val="20"/>
                <w:szCs w:val="20"/>
              </w:rPr>
              <w:t>Confidence</w:t>
            </w:r>
          </w:p>
        </w:tc>
      </w:tr>
      <w:tr>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Credential Access</w:t>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T1539</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Steal Web Session Cookie</w:t>
            </w:r>
          </w:p>
        </w:tc>
        <w:tc>
          <w:tcPr>
            <w:tcW w:w="3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Attacker used Chrome's remote debugging interface to extract an active, authenticated session cookie rather than harvesting credentials directly.</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High</w:t>
            </w:r>
          </w:p>
        </w:tc>
      </w:tr>
      <w:tr>
        <w:trPr/>
        <w:tc>
          <w:tcPr>
            <w:tcW w:w="17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Discovery</w:t>
            </w:r>
          </w:p>
        </w:tc>
        <w:tc>
          <w:tcPr>
            <w:tcW w:w="130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T1087.004</w:t>
            </w:r>
          </w:p>
        </w:tc>
        <w:tc>
          <w:tcPr>
            <w:tcW w:w="24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Account Discovery: Cloud Account</w:t>
            </w:r>
          </w:p>
        </w:tc>
        <w:tc>
          <w:tcPr>
            <w:tcW w:w="38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Attacker enumerated Azure AD users and groups using the hijacked session.</w:t>
            </w:r>
          </w:p>
        </w:tc>
        <w:tc>
          <w:tcPr>
            <w:tcW w:w="13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High</w:t>
            </w:r>
          </w:p>
        </w:tc>
      </w:tr>
      <w:tr>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Defense Evasion / Persistence / Initial Access</w:t>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T1078.004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Valid Accounts: Cloud Accounts</w:t>
            </w:r>
          </w:p>
        </w:tc>
        <w:tc>
          <w:tcPr>
            <w:tcW w:w="3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Attacker authenticated to Azure AD using a legitimate, already-authenticated session, blending in with normal user activity and bypassing password/MFA controls.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High</w:t>
            </w:r>
          </w:p>
        </w:tc>
      </w:tr>
    </w:tbl>
    <w:p>
      <w:pPr>
        <w:pStyle w:val="Normal"/>
        <w:spacing w:before="200" w:after="0"/>
        <w:rPr/>
      </w:pPr>
      <w:r>
        <w:rPr/>
      </w:r>
    </w:p>
    <w:p>
      <w:pPr>
        <w:pStyle w:val="Heading2"/>
        <w:numPr>
          <w:ilvl w:val="0"/>
          <w:numId w:val="0"/>
        </w:numPr>
        <w:spacing w:before="280" w:after="120"/>
        <w:outlineLvl w:val="1"/>
        <w:rPr/>
      </w:pPr>
      <w:bookmarkStart w:id="12" w:name="__RefHeading___Toc407_2867630018"/>
      <w:bookmarkEnd w:id="12"/>
      <w:r>
        <w:rPr>
          <w:rFonts w:eastAsia="Calibri" w:cs="Calibri" w:ascii="Calibri" w:hAnsi="Calibri"/>
          <w:b/>
          <w:bCs/>
          <w:color w:val="1F3864"/>
        </w:rPr>
        <w:t>3.2 Indicators of Compromise</w:t>
      </w:r>
    </w:p>
    <w:tbl>
      <w:tblPr>
        <w:tblW w:w="9600" w:type="dxa"/>
        <w:jc w:val="left"/>
        <w:tblInd w:w="105" w:type="dxa"/>
        <w:tblLayout w:type="fixed"/>
        <w:tblCellMar>
          <w:top w:w="80" w:type="dxa"/>
          <w:left w:w="100" w:type="dxa"/>
          <w:bottom w:w="80" w:type="dxa"/>
          <w:right w:w="100" w:type="dxa"/>
        </w:tblCellMar>
      </w:tblPr>
      <w:tblGrid>
        <w:gridCol w:w="1600"/>
        <w:gridCol w:w="3600"/>
        <w:gridCol w:w="4400"/>
      </w:tblGrid>
      <w:tr>
        <w:trPr>
          <w:tblHeader w:val="true"/>
        </w:trPr>
        <w:tc>
          <w:tcPr>
            <w:tcW w:w="16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left"/>
              <w:rPr/>
            </w:pPr>
            <w:r>
              <w:rPr>
                <w:rFonts w:eastAsia="Calibri" w:cs="Calibri" w:ascii="Calibri" w:hAnsi="Calibri"/>
                <w:b/>
                <w:bCs/>
                <w:color w:val="FFFFFF"/>
                <w:sz w:val="20"/>
                <w:szCs w:val="20"/>
              </w:rPr>
              <w:t>Type</w:t>
            </w:r>
          </w:p>
        </w:tc>
        <w:tc>
          <w:tcPr>
            <w:tcW w:w="36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left"/>
              <w:rPr/>
            </w:pPr>
            <w:r>
              <w:rPr>
                <w:rFonts w:eastAsia="Calibri" w:cs="Calibri" w:ascii="Calibri" w:hAnsi="Calibri"/>
                <w:b/>
                <w:bCs/>
                <w:color w:val="FFFFFF"/>
                <w:sz w:val="20"/>
                <w:szCs w:val="20"/>
              </w:rPr>
              <w:t>Value</w:t>
            </w:r>
          </w:p>
        </w:tc>
        <w:tc>
          <w:tcPr>
            <w:tcW w:w="44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left"/>
              <w:rPr/>
            </w:pPr>
            <w:r>
              <w:rPr>
                <w:rFonts w:eastAsia="Calibri" w:cs="Calibri" w:ascii="Calibri" w:hAnsi="Calibri"/>
                <w:b/>
                <w:bCs/>
                <w:color w:val="FFFFFF"/>
                <w:sz w:val="20"/>
                <w:szCs w:val="20"/>
              </w:rPr>
              <w:t>Context</w:t>
            </w:r>
          </w:p>
        </w:tc>
      </w:tr>
      <w:tr>
        <w:trPr/>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Process</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chrome.exe --remote-debugging-port=9222</w:t>
            </w:r>
          </w:p>
        </w:tc>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Chrome launched with DevTools debugging port exposed; abused to access live session state.</w:t>
            </w:r>
          </w:p>
        </w:tc>
      </w:tr>
      <w:tr>
        <w:trPr/>
        <w:tc>
          <w:tcPr>
            <w:tcW w:w="1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Network Port</w:t>
            </w:r>
          </w:p>
        </w:tc>
        <w:tc>
          <w:tcPr>
            <w:tcW w:w="3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9222/tcp (localhost)</w:t>
            </w:r>
          </w:p>
        </w:tc>
        <w:tc>
          <w:tcPr>
            <w:tcW w:w="44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Default Chrome remote debugging port targeted by the PowerShell collection script.</w:t>
            </w:r>
          </w:p>
        </w:tc>
      </w:tr>
      <w:tr>
        <w:trPr/>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IP Address</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203.0.113.42</w:t>
            </w:r>
          </w:p>
        </w:tc>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External IP used by the attacker to sign in to Azure AD with the stolen session cookie.</w:t>
            </w:r>
          </w:p>
        </w:tc>
      </w:tr>
      <w:tr>
        <w:trPr/>
        <w:tc>
          <w:tcPr>
            <w:tcW w:w="1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User-Agent</w:t>
            </w:r>
          </w:p>
        </w:tc>
        <w:tc>
          <w:tcPr>
            <w:tcW w:w="3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Mozilla/5.0 (Windows NT 10.0; Win64; x64) ...</w:t>
            </w:r>
          </w:p>
        </w:tc>
        <w:tc>
          <w:tcPr>
            <w:tcW w:w="44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User-agent string associated with the anomalous Azure AD sign-in event.</w:t>
            </w:r>
          </w:p>
        </w:tc>
      </w:tr>
    </w:tbl>
    <w:p>
      <w:pPr>
        <w:pStyle w:val="Normal"/>
        <w:spacing w:before="200" w:after="0"/>
        <w:rPr/>
      </w:pPr>
      <w:r>
        <w:rPr/>
      </w:r>
    </w:p>
    <w:p>
      <w:pPr>
        <w:pStyle w:val="Heading2"/>
        <w:numPr>
          <w:ilvl w:val="0"/>
          <w:numId w:val="0"/>
        </w:numPr>
        <w:spacing w:before="280" w:after="120"/>
        <w:outlineLvl w:val="1"/>
        <w:rPr/>
      </w:pPr>
      <w:bookmarkStart w:id="13" w:name="__RefHeading___Toc409_2867630018"/>
      <w:bookmarkEnd w:id="13"/>
      <w:r>
        <w:rPr>
          <w:rFonts w:eastAsia="Calibri" w:cs="Calibri" w:ascii="Calibri" w:hAnsi="Calibri"/>
          <w:b/>
          <w:bCs/>
          <w:color w:val="1F3864"/>
        </w:rPr>
        <w:t>3.3 Evidence Collected</w:t>
      </w:r>
    </w:p>
    <w:p>
      <w:pPr>
        <w:pStyle w:val="ListParagraph"/>
        <w:numPr>
          <w:ilvl w:val="0"/>
          <w:numId w:val="1"/>
        </w:numPr>
        <w:spacing w:before="0" w:after="80"/>
        <w:rPr/>
      </w:pPr>
      <w:r>
        <w:rPr>
          <w:rFonts w:eastAsia="Calibri" w:cs="Calibri" w:ascii="Calibri" w:hAnsi="Calibri"/>
        </w:rPr>
        <w:t>Endpoint process-execution logs showing chrome.exe launched with the --remote-debugging-port argument.</w:t>
      </w:r>
    </w:p>
    <w:p>
      <w:pPr>
        <w:pStyle w:val="ListParagraph"/>
        <w:numPr>
          <w:ilvl w:val="0"/>
          <w:numId w:val="1"/>
        </w:numPr>
        <w:spacing w:before="0" w:after="80"/>
        <w:rPr/>
      </w:pPr>
      <w:r>
        <w:rPr>
          <w:rFonts w:eastAsia="Calibri" w:cs="Calibri" w:ascii="Calibri" w:hAnsi="Calibri"/>
        </w:rPr>
        <w:t>PowerShell execution/script-block logs showing interaction with the local CDP endpoint.</w:t>
      </w:r>
    </w:p>
    <w:p>
      <w:pPr>
        <w:pStyle w:val="ListParagraph"/>
        <w:numPr>
          <w:ilvl w:val="0"/>
          <w:numId w:val="1"/>
        </w:numPr>
        <w:spacing w:before="0" w:after="80"/>
        <w:rPr/>
      </w:pPr>
      <w:r>
        <w:rPr>
          <w:rFonts w:eastAsia="Calibri" w:cs="Calibri" w:ascii="Calibri" w:hAnsi="Calibri"/>
        </w:rPr>
        <w:t>Azure AD sign-in logs showing the anomalous authentication event from IP 203.0.113.42, including user agent and session/token metadata.</w:t>
      </w:r>
    </w:p>
    <w:p>
      <w:pPr>
        <w:pStyle w:val="ListParagraph"/>
        <w:numPr>
          <w:ilvl w:val="0"/>
          <w:numId w:val="1"/>
        </w:numPr>
        <w:spacing w:before="0" w:after="80"/>
        <w:rPr/>
      </w:pPr>
      <w:r>
        <w:rPr>
          <w:rFonts w:eastAsia="Calibri" w:cs="Calibri" w:ascii="Calibri" w:hAnsi="Calibri"/>
        </w:rPr>
        <w:t>Azure AD audit logs showing directory enumeration (user and group listing) activity performed during the hijacked session.</w:t>
      </w:r>
    </w:p>
    <w:p>
      <w:pPr>
        <w:pStyle w:val="Normal"/>
        <w:rPr/>
      </w:pPr>
      <w:r>
        <w:rPr/>
      </w:r>
      <w:r>
        <w:br w:type="page"/>
      </w:r>
    </w:p>
    <w:p>
      <w:pPr>
        <w:pStyle w:val="Heading1"/>
        <w:numPr>
          <w:ilvl w:val="0"/>
          <w:numId w:val="0"/>
        </w:numPr>
        <w:pBdr>
          <w:bottom w:val="single" w:sz="6" w:space="4" w:color="1F3864"/>
        </w:pBdr>
        <w:spacing w:before="0" w:after="160"/>
        <w:outlineLvl w:val="0"/>
        <w:rPr/>
      </w:pPr>
      <w:bookmarkStart w:id="14" w:name="__RefHeading___Toc411_2867630018"/>
      <w:bookmarkEnd w:id="14"/>
      <w:r>
        <w:rPr>
          <w:rFonts w:eastAsia="Calibri" w:cs="Calibri" w:ascii="Calibri" w:hAnsi="Calibri"/>
          <w:b/>
          <w:bCs/>
          <w:color w:val="1F3864"/>
        </w:rPr>
        <w:t>4. Impact Assessment</w:t>
      </w:r>
    </w:p>
    <w:p>
      <w:pPr>
        <w:pStyle w:val="Heading2"/>
        <w:numPr>
          <w:ilvl w:val="0"/>
          <w:numId w:val="0"/>
        </w:numPr>
        <w:spacing w:before="280" w:after="120"/>
        <w:outlineLvl w:val="1"/>
        <w:rPr/>
      </w:pPr>
      <w:bookmarkStart w:id="15" w:name="__RefHeading___Toc413_2867630018"/>
      <w:bookmarkEnd w:id="15"/>
      <w:r>
        <w:rPr>
          <w:rFonts w:eastAsia="Calibri" w:cs="Calibri" w:ascii="Calibri" w:hAnsi="Calibri"/>
          <w:b/>
          <w:bCs/>
          <w:color w:val="1F3864"/>
        </w:rPr>
        <w:t>4.1 Data at Risk</w:t>
      </w:r>
    </w:p>
    <w:p>
      <w:pPr>
        <w:pStyle w:val="Normal"/>
        <w:spacing w:lineRule="auto" w:line="276" w:before="0" w:after="160"/>
        <w:rPr/>
      </w:pPr>
      <w:r>
        <w:rPr>
          <w:rFonts w:eastAsia="Calibri" w:cs="Calibri" w:ascii="Calibri" w:hAnsi="Calibri"/>
        </w:rPr>
        <w:t>Directory metadata for the Azure AD tenant — including user account listings, group memberships, and organizational structure — was exposed to the attacker via enumeration. No confirmed exfiltration of documents, email content, or other business data has been identified as of this report.</w:t>
      </w:r>
    </w:p>
    <w:p>
      <w:pPr>
        <w:pStyle w:val="Heading2"/>
        <w:numPr>
          <w:ilvl w:val="0"/>
          <w:numId w:val="0"/>
        </w:numPr>
        <w:spacing w:before="280" w:after="120"/>
        <w:outlineLvl w:val="1"/>
        <w:rPr/>
      </w:pPr>
      <w:bookmarkStart w:id="16" w:name="__RefHeading___Toc415_2867630018"/>
      <w:bookmarkEnd w:id="16"/>
      <w:r>
        <w:rPr>
          <w:rFonts w:eastAsia="Calibri" w:cs="Calibri" w:ascii="Calibri" w:hAnsi="Calibri"/>
          <w:b/>
          <w:bCs/>
          <w:color w:val="1F3864"/>
        </w:rPr>
        <w:t>4.2 Systems Affected</w:t>
      </w:r>
    </w:p>
    <w:p>
      <w:pPr>
        <w:pStyle w:val="ListParagraph"/>
        <w:numPr>
          <w:ilvl w:val="0"/>
          <w:numId w:val="1"/>
        </w:numPr>
        <w:spacing w:before="0" w:after="80"/>
        <w:rPr/>
      </w:pPr>
      <w:r>
        <w:rPr>
          <w:rFonts w:eastAsia="Calibri" w:cs="Calibri" w:ascii="Calibri" w:hAnsi="Calibri"/>
        </w:rPr>
        <w:t>One user endpoint (source of the cookie theft).</w:t>
      </w:r>
    </w:p>
    <w:p>
      <w:pPr>
        <w:pStyle w:val="ListParagraph"/>
        <w:numPr>
          <w:ilvl w:val="0"/>
          <w:numId w:val="1"/>
        </w:numPr>
        <w:spacing w:before="0" w:after="80"/>
        <w:rPr/>
      </w:pPr>
      <w:r>
        <w:rPr>
          <w:rFonts w:eastAsia="Calibri" w:cs="Calibri" w:ascii="Calibri" w:hAnsi="Calibri"/>
        </w:rPr>
        <w:t>One Azure AD user identity (session hijacked).</w:t>
      </w:r>
    </w:p>
    <w:p>
      <w:pPr>
        <w:pStyle w:val="ListParagraph"/>
        <w:numPr>
          <w:ilvl w:val="0"/>
          <w:numId w:val="1"/>
        </w:numPr>
        <w:spacing w:before="0" w:after="80"/>
        <w:rPr/>
      </w:pPr>
      <w:r>
        <w:rPr>
          <w:rFonts w:eastAsia="Calibri" w:cs="Calibri" w:ascii="Calibri" w:hAnsi="Calibri"/>
        </w:rPr>
        <w:t>Azure AD tenant directory (enumerated, not modified).</w:t>
      </w:r>
    </w:p>
    <w:p>
      <w:pPr>
        <w:pStyle w:val="Heading2"/>
        <w:numPr>
          <w:ilvl w:val="0"/>
          <w:numId w:val="0"/>
        </w:numPr>
        <w:spacing w:before="280" w:after="120"/>
        <w:outlineLvl w:val="1"/>
        <w:rPr/>
      </w:pPr>
      <w:bookmarkStart w:id="17" w:name="__RefHeading___Toc417_2867630018"/>
      <w:bookmarkEnd w:id="17"/>
      <w:r>
        <w:rPr>
          <w:rFonts w:eastAsia="Calibri" w:cs="Calibri" w:ascii="Calibri" w:hAnsi="Calibri"/>
          <w:b/>
          <w:bCs/>
          <w:color w:val="1F3864"/>
        </w:rPr>
        <w:t>4.3 Business Operations Impact</w:t>
      </w:r>
    </w:p>
    <w:p>
      <w:pPr>
        <w:pStyle w:val="Normal"/>
        <w:spacing w:lineRule="auto" w:line="276" w:before="0" w:after="160"/>
        <w:rPr/>
      </w:pPr>
      <w:r>
        <w:rPr>
          <w:rFonts w:eastAsia="Calibri" w:cs="Calibri" w:ascii="Calibri" w:hAnsi="Calibri"/>
        </w:rPr>
        <w:t>Business operations were not disrupted; no outages, ransomware activity, or destructive actions were observed. The primary impact is a confidentiality exposure of directory information and the residual risk that enumerated account/group data could be used to plan further attacks (e.g., targeted phishing against enumerated users or high-privilege groups).</w:t>
      </w:r>
    </w:p>
    <w:p>
      <w:pPr>
        <w:pStyle w:val="Normal"/>
        <w:rPr/>
      </w:pPr>
      <w:r>
        <w:rPr/>
      </w:r>
      <w:r>
        <w:br w:type="page"/>
      </w:r>
    </w:p>
    <w:p>
      <w:pPr>
        <w:pStyle w:val="Heading1"/>
        <w:numPr>
          <w:ilvl w:val="0"/>
          <w:numId w:val="0"/>
        </w:numPr>
        <w:pBdr>
          <w:bottom w:val="single" w:sz="6" w:space="4" w:color="1F3864"/>
        </w:pBdr>
        <w:spacing w:before="0" w:after="160"/>
        <w:outlineLvl w:val="0"/>
        <w:rPr/>
      </w:pPr>
      <w:bookmarkStart w:id="18" w:name="__RefHeading___Toc419_2867630018"/>
      <w:bookmarkEnd w:id="18"/>
      <w:r>
        <w:rPr>
          <w:rFonts w:eastAsia="Calibri" w:cs="Calibri" w:ascii="Calibri" w:hAnsi="Calibri"/>
          <w:b/>
          <w:bCs/>
          <w:color w:val="1F3864"/>
        </w:rPr>
        <w:t>5. Containment &amp; Remediation</w:t>
      </w:r>
    </w:p>
    <w:p>
      <w:pPr>
        <w:pStyle w:val="Heading2"/>
        <w:numPr>
          <w:ilvl w:val="0"/>
          <w:numId w:val="0"/>
        </w:numPr>
        <w:spacing w:before="280" w:after="120"/>
        <w:outlineLvl w:val="1"/>
        <w:rPr/>
      </w:pPr>
      <w:bookmarkStart w:id="19" w:name="__RefHeading___Toc421_2867630018"/>
      <w:bookmarkEnd w:id="19"/>
      <w:r>
        <w:rPr>
          <w:rFonts w:eastAsia="Calibri" w:cs="Calibri" w:ascii="Calibri" w:hAnsi="Calibri"/>
          <w:b/>
          <w:bCs/>
          <w:color w:val="1F3864"/>
        </w:rPr>
        <w:t>5.1 Immediate Actions Taken</w:t>
      </w:r>
    </w:p>
    <w:p>
      <w:pPr>
        <w:pStyle w:val="ListParagraph"/>
        <w:numPr>
          <w:ilvl w:val="0"/>
          <w:numId w:val="1"/>
        </w:numPr>
        <w:spacing w:before="0" w:after="80"/>
        <w:rPr/>
      </w:pPr>
      <w:r>
        <w:rPr>
          <w:rFonts w:eastAsia="Calibri" w:cs="Calibri" w:ascii="Calibri" w:hAnsi="Calibri"/>
        </w:rPr>
        <w:t>Revoked all active Azure AD sessions and refresh tokens for the affected user account.</w:t>
      </w:r>
    </w:p>
    <w:p>
      <w:pPr>
        <w:pStyle w:val="ListParagraph"/>
        <w:numPr>
          <w:ilvl w:val="0"/>
          <w:numId w:val="1"/>
        </w:numPr>
        <w:spacing w:before="0" w:after="80"/>
        <w:rPr/>
      </w:pPr>
      <w:r>
        <w:rPr>
          <w:rFonts w:eastAsia="Calibri" w:cs="Calibri" w:ascii="Calibri" w:hAnsi="Calibri"/>
        </w:rPr>
        <w:t>Initiated a forced password reset for the affected user account.</w:t>
      </w:r>
    </w:p>
    <w:p>
      <w:pPr>
        <w:pStyle w:val="ListParagraph"/>
        <w:numPr>
          <w:ilvl w:val="0"/>
          <w:numId w:val="1"/>
        </w:numPr>
        <w:spacing w:before="0" w:after="80"/>
        <w:rPr/>
      </w:pPr>
      <w:r>
        <w:rPr>
          <w:rFonts w:eastAsia="Calibri" w:cs="Calibri" w:ascii="Calibri" w:hAnsi="Calibri"/>
        </w:rPr>
        <w:t>Isolated the affected endpoint from the network pending forensic review.</w:t>
      </w:r>
    </w:p>
    <w:p>
      <w:pPr>
        <w:pStyle w:val="ListParagraph"/>
        <w:numPr>
          <w:ilvl w:val="0"/>
          <w:numId w:val="1"/>
        </w:numPr>
        <w:spacing w:before="0" w:after="80"/>
        <w:rPr/>
      </w:pPr>
      <w:r>
        <w:rPr>
          <w:rFonts w:eastAsia="Calibri" w:cs="Calibri" w:ascii="Calibri" w:hAnsi="Calibri"/>
        </w:rPr>
        <w:t>Blocked the attacker-controlled IP address (203.0.113.42) at the network perimeter / conditional access layer.</w:t>
      </w:r>
    </w:p>
    <w:p>
      <w:pPr>
        <w:pStyle w:val="Heading2"/>
        <w:numPr>
          <w:ilvl w:val="0"/>
          <w:numId w:val="0"/>
        </w:numPr>
        <w:spacing w:before="280" w:after="120"/>
        <w:outlineLvl w:val="1"/>
        <w:rPr/>
      </w:pPr>
      <w:bookmarkStart w:id="20" w:name="__RefHeading___Toc423_2867630018"/>
      <w:bookmarkEnd w:id="20"/>
      <w:r>
        <w:rPr>
          <w:rFonts w:eastAsia="Calibri" w:cs="Calibri" w:ascii="Calibri" w:hAnsi="Calibri"/>
          <w:b/>
          <w:bCs/>
          <w:color w:val="1F3864"/>
        </w:rPr>
        <w:t>5.2 Short-Term Remediation Steps</w:t>
      </w:r>
    </w:p>
    <w:p>
      <w:pPr>
        <w:pStyle w:val="ListParagraph"/>
        <w:numPr>
          <w:ilvl w:val="0"/>
          <w:numId w:val="1"/>
        </w:numPr>
        <w:spacing w:before="0" w:after="80"/>
        <w:rPr/>
      </w:pPr>
      <w:r>
        <w:rPr>
          <w:rFonts w:eastAsia="Calibri" w:cs="Calibri" w:ascii="Calibri" w:hAnsi="Calibri"/>
        </w:rPr>
        <w:t>Complete forensic imaging and review of the affected endpoint to confirm the initial access vector.</w:t>
      </w:r>
    </w:p>
    <w:p>
      <w:pPr>
        <w:pStyle w:val="ListParagraph"/>
        <w:numPr>
          <w:ilvl w:val="0"/>
          <w:numId w:val="1"/>
        </w:numPr>
        <w:spacing w:before="0" w:after="80"/>
        <w:rPr/>
      </w:pPr>
      <w:r>
        <w:rPr>
          <w:rFonts w:eastAsia="Calibri" w:cs="Calibri" w:ascii="Calibri" w:hAnsi="Calibri"/>
        </w:rPr>
        <w:t>Audit sign-in and audit logs tenant-wide for other accounts exhibiting similar remote-debugging-derived session usage.</w:t>
      </w:r>
    </w:p>
    <w:p>
      <w:pPr>
        <w:pStyle w:val="ListParagraph"/>
        <w:numPr>
          <w:ilvl w:val="0"/>
          <w:numId w:val="1"/>
        </w:numPr>
        <w:spacing w:before="0" w:after="80"/>
        <w:rPr/>
      </w:pPr>
      <w:r>
        <w:rPr>
          <w:rFonts w:eastAsia="Calibri" w:cs="Calibri" w:ascii="Calibri" w:hAnsi="Calibri"/>
        </w:rPr>
        <w:t>Re-image or fully remediate the affected endpoint before returning it to service.</w:t>
      </w:r>
    </w:p>
    <w:p>
      <w:pPr>
        <w:pStyle w:val="ListParagraph"/>
        <w:numPr>
          <w:ilvl w:val="0"/>
          <w:numId w:val="1"/>
        </w:numPr>
        <w:spacing w:before="0" w:after="80"/>
        <w:rPr/>
      </w:pPr>
      <w:r>
        <w:rPr>
          <w:rFonts w:eastAsia="Calibri" w:cs="Calibri" w:ascii="Calibri" w:hAnsi="Calibri"/>
        </w:rPr>
        <w:t>Notify the affected user and relevant stakeholders per internal incident communication procedures.</w:t>
      </w:r>
    </w:p>
    <w:p>
      <w:pPr>
        <w:pStyle w:val="Heading2"/>
        <w:numPr>
          <w:ilvl w:val="0"/>
          <w:numId w:val="0"/>
        </w:numPr>
        <w:spacing w:before="280" w:after="120"/>
        <w:outlineLvl w:val="1"/>
        <w:rPr/>
      </w:pPr>
      <w:bookmarkStart w:id="21" w:name="__RefHeading___Toc425_2867630018"/>
      <w:bookmarkEnd w:id="21"/>
      <w:r>
        <w:rPr>
          <w:rFonts w:eastAsia="Calibri" w:cs="Calibri" w:ascii="Calibri" w:hAnsi="Calibri"/>
          <w:b/>
          <w:bCs/>
          <w:color w:val="1F3864"/>
        </w:rPr>
        <w:t>5.3 Long-Term Improvements</w:t>
      </w:r>
    </w:p>
    <w:p>
      <w:pPr>
        <w:pStyle w:val="ListParagraph"/>
        <w:numPr>
          <w:ilvl w:val="0"/>
          <w:numId w:val="1"/>
        </w:numPr>
        <w:spacing w:before="0" w:after="80"/>
        <w:rPr/>
      </w:pPr>
      <w:r>
        <w:rPr>
          <w:rFonts w:eastAsia="Calibri" w:cs="Calibri" w:ascii="Calibri" w:hAnsi="Calibri"/>
        </w:rPr>
        <w:t>Implement Conditional Access policies enforcing device compliance, location, and sign-in risk checks for all cloud sign-ins.</w:t>
      </w:r>
    </w:p>
    <w:p>
      <w:pPr>
        <w:pStyle w:val="ListParagraph"/>
        <w:numPr>
          <w:ilvl w:val="0"/>
          <w:numId w:val="1"/>
        </w:numPr>
        <w:spacing w:before="0" w:after="80"/>
        <w:rPr/>
      </w:pPr>
      <w:r>
        <w:rPr>
          <w:rFonts w:eastAsia="Calibri" w:cs="Calibri" w:ascii="Calibri" w:hAnsi="Calibri"/>
        </w:rPr>
        <w:t>Deploy endpoint detection rules that alert on browser processes launched with remote-debugging flags.</w:t>
      </w:r>
    </w:p>
    <w:p>
      <w:pPr>
        <w:pStyle w:val="ListParagraph"/>
        <w:numPr>
          <w:ilvl w:val="0"/>
          <w:numId w:val="1"/>
        </w:numPr>
        <w:spacing w:before="0" w:after="80"/>
        <w:rPr/>
      </w:pPr>
      <w:r>
        <w:rPr>
          <w:rFonts w:eastAsia="Calibri" w:cs="Calibri" w:ascii="Calibri" w:hAnsi="Calibri"/>
        </w:rPr>
        <w:t>Enforce browser policies (via GPO/Intune) that disable or restrict the remote debugging port on managed endpoints.</w:t>
      </w:r>
    </w:p>
    <w:p>
      <w:pPr>
        <w:pStyle w:val="ListParagraph"/>
        <w:numPr>
          <w:ilvl w:val="0"/>
          <w:numId w:val="1"/>
        </w:numPr>
        <w:spacing w:before="0" w:after="80"/>
        <w:rPr/>
      </w:pPr>
      <w:r>
        <w:rPr>
          <w:rFonts w:eastAsia="Calibri" w:cs="Calibri" w:ascii="Calibri" w:hAnsi="Calibri"/>
        </w:rPr>
        <w:t>Shorten session/token lifetimes and enable continuous access evaluation (CAE) for Azure AD sessions.</w:t>
      </w:r>
    </w:p>
    <w:p>
      <w:pPr>
        <w:pStyle w:val="Normal"/>
        <w:rPr/>
      </w:pPr>
      <w:r>
        <w:rPr/>
      </w:r>
      <w:r>
        <w:br w:type="page"/>
      </w:r>
    </w:p>
    <w:p>
      <w:pPr>
        <w:pStyle w:val="Heading1"/>
        <w:numPr>
          <w:ilvl w:val="0"/>
          <w:numId w:val="0"/>
        </w:numPr>
        <w:pBdr>
          <w:bottom w:val="single" w:sz="6" w:space="4" w:color="1F3864"/>
        </w:pBdr>
        <w:spacing w:before="0" w:after="160"/>
        <w:outlineLvl w:val="0"/>
        <w:rPr/>
      </w:pPr>
      <w:bookmarkStart w:id="22" w:name="__RefHeading___Toc427_2867630018"/>
      <w:bookmarkEnd w:id="22"/>
      <w:r>
        <w:rPr>
          <w:rFonts w:eastAsia="Calibri" w:cs="Calibri" w:ascii="Calibri" w:hAnsi="Calibri"/>
          <w:b/>
          <w:bCs/>
          <w:color w:val="1F3864"/>
        </w:rPr>
        <w:t>6. Recommendations</w:t>
      </w:r>
    </w:p>
    <w:p>
      <w:pPr>
        <w:pStyle w:val="Heading2"/>
        <w:numPr>
          <w:ilvl w:val="0"/>
          <w:numId w:val="0"/>
        </w:numPr>
        <w:spacing w:before="280" w:after="120"/>
        <w:outlineLvl w:val="1"/>
        <w:rPr/>
      </w:pPr>
      <w:bookmarkStart w:id="23" w:name="__RefHeading___Toc429_2867630018"/>
      <w:bookmarkEnd w:id="23"/>
      <w:r>
        <w:rPr>
          <w:rFonts w:eastAsia="Calibri" w:cs="Calibri" w:ascii="Calibri" w:hAnsi="Calibri"/>
          <w:b/>
          <w:bCs/>
          <w:color w:val="1F3864"/>
        </w:rPr>
        <w:t>6.1 Prioritized Security Improvements</w:t>
      </w:r>
    </w:p>
    <w:p>
      <w:pPr>
        <w:pStyle w:val="ListParagraph"/>
        <w:numPr>
          <w:ilvl w:val="0"/>
          <w:numId w:val="2"/>
        </w:numPr>
        <w:spacing w:before="0" w:after="80"/>
        <w:rPr/>
      </w:pPr>
      <w:r>
        <w:rPr>
          <w:rFonts w:eastAsia="Calibri" w:cs="Calibri" w:ascii="Calibri" w:hAnsi="Calibri"/>
        </w:rPr>
        <w:t>(Critical) Deploy detection for Chrome/Edge/other browser processes launched with --remote-debugging-port or equivalent flags.</w:t>
      </w:r>
    </w:p>
    <w:p>
      <w:pPr>
        <w:pStyle w:val="ListParagraph"/>
        <w:numPr>
          <w:ilvl w:val="0"/>
          <w:numId w:val="2"/>
        </w:numPr>
        <w:spacing w:before="0" w:after="80"/>
        <w:rPr/>
      </w:pPr>
      <w:r>
        <w:rPr>
          <w:rFonts w:eastAsia="Calibri" w:cs="Calibri" w:ascii="Calibri" w:hAnsi="Calibri"/>
        </w:rPr>
        <w:t>(Critical) Enforce Conditional Access policies (device compliance, location, sign-in risk) for all Azure AD sign-ins.</w:t>
      </w:r>
    </w:p>
    <w:p>
      <w:pPr>
        <w:pStyle w:val="ListParagraph"/>
        <w:numPr>
          <w:ilvl w:val="0"/>
          <w:numId w:val="2"/>
        </w:numPr>
        <w:spacing w:before="0" w:after="80"/>
        <w:rPr/>
      </w:pPr>
      <w:r>
        <w:rPr>
          <w:rFonts w:eastAsia="Calibri" w:cs="Calibri" w:ascii="Calibri" w:hAnsi="Calibri"/>
        </w:rPr>
        <w:t>(High) Restrict or disable browser remote-debugging capabilities via managed endpoint policy (Intune/GPO).</w:t>
      </w:r>
    </w:p>
    <w:p>
      <w:pPr>
        <w:pStyle w:val="ListParagraph"/>
        <w:numPr>
          <w:ilvl w:val="0"/>
          <w:numId w:val="2"/>
        </w:numPr>
        <w:spacing w:before="0" w:after="80"/>
        <w:rPr/>
      </w:pPr>
      <w:r>
        <w:rPr>
          <w:rFonts w:eastAsia="Calibri" w:cs="Calibri" w:ascii="Calibri" w:hAnsi="Calibri"/>
        </w:rPr>
        <w:t>(High) Enable Continuous Access Evaluation (CAE) and reduce token/session lifetimes in Azure AD.</w:t>
      </w:r>
    </w:p>
    <w:p>
      <w:pPr>
        <w:pStyle w:val="ListParagraph"/>
        <w:numPr>
          <w:ilvl w:val="0"/>
          <w:numId w:val="2"/>
        </w:numPr>
        <w:spacing w:before="0" w:after="80"/>
        <w:rPr/>
      </w:pPr>
      <w:r>
        <w:rPr>
          <w:rFonts w:eastAsia="Calibri" w:cs="Calibri" w:ascii="Calibri" w:hAnsi="Calibri"/>
        </w:rPr>
        <w:t>(Medium) Expand SOC monitoring to correlate endpoint process anomalies with cloud sign-in telemetry in near real time.</w:t>
      </w:r>
    </w:p>
    <w:p>
      <w:pPr>
        <w:pStyle w:val="ListParagraph"/>
        <w:numPr>
          <w:ilvl w:val="0"/>
          <w:numId w:val="2"/>
        </w:numPr>
        <w:spacing w:before="0" w:after="80"/>
        <w:rPr/>
      </w:pPr>
      <w:r>
        <w:rPr>
          <w:rFonts w:eastAsia="Calibri" w:cs="Calibri" w:ascii="Calibri" w:hAnsi="Calibri"/>
        </w:rPr>
        <w:t>(Medium) Conduct targeted user awareness training on session-hijacking techniques and endpoint hygiene.</w:t>
      </w:r>
    </w:p>
    <w:p>
      <w:pPr>
        <w:pStyle w:val="Heading2"/>
        <w:numPr>
          <w:ilvl w:val="0"/>
          <w:numId w:val="0"/>
        </w:numPr>
        <w:spacing w:before="280" w:after="120"/>
        <w:outlineLvl w:val="1"/>
        <w:rPr/>
      </w:pPr>
      <w:bookmarkStart w:id="24" w:name="__RefHeading___Toc431_2867630018"/>
      <w:bookmarkEnd w:id="24"/>
      <w:r>
        <w:rPr>
          <w:rFonts w:eastAsia="Calibri" w:cs="Calibri" w:ascii="Calibri" w:hAnsi="Calibri"/>
          <w:b/>
          <w:bCs/>
          <w:color w:val="1F3864"/>
        </w:rPr>
        <w:t>6.2 Detection Gaps to Address</w:t>
      </w:r>
    </w:p>
    <w:p>
      <w:pPr>
        <w:pStyle w:val="ListParagraph"/>
        <w:numPr>
          <w:ilvl w:val="0"/>
          <w:numId w:val="1"/>
        </w:numPr>
        <w:spacing w:before="0" w:after="80"/>
        <w:rPr/>
      </w:pPr>
      <w:r>
        <w:rPr>
          <w:rFonts w:eastAsia="Calibri" w:cs="Calibri" w:ascii="Calibri" w:hAnsi="Calibri"/>
        </w:rPr>
        <w:t>No existing alerting for browser remote-debugging-port usage at the time of the incident.</w:t>
      </w:r>
    </w:p>
    <w:p>
      <w:pPr>
        <w:pStyle w:val="ListParagraph"/>
        <w:numPr>
          <w:ilvl w:val="0"/>
          <w:numId w:val="1"/>
        </w:numPr>
        <w:spacing w:before="0" w:after="80"/>
        <w:rPr/>
      </w:pPr>
      <w:r>
        <w:rPr>
          <w:rFonts w:eastAsia="Calibri" w:cs="Calibri" w:ascii="Calibri" w:hAnsi="Calibri"/>
        </w:rPr>
        <w:t>Limited correlation between endpoint EDR telemetry and Azure AD sign-in logs, which delayed full attack-chain visibility.</w:t>
      </w:r>
    </w:p>
    <w:p>
      <w:pPr>
        <w:pStyle w:val="ListParagraph"/>
        <w:numPr>
          <w:ilvl w:val="0"/>
          <w:numId w:val="1"/>
        </w:numPr>
        <w:spacing w:before="0" w:after="80"/>
        <w:rPr/>
      </w:pPr>
      <w:r>
        <w:rPr>
          <w:rFonts w:eastAsia="Calibri" w:cs="Calibri" w:ascii="Calibri" w:hAnsi="Calibri"/>
        </w:rPr>
        <w:t>No automated flag for Azure AD sign-ins that skip MFA due to pre-existing session/token validity.</w:t>
      </w:r>
    </w:p>
    <w:p>
      <w:pPr>
        <w:pStyle w:val="Normal"/>
        <w:rPr/>
      </w:pPr>
      <w:r>
        <w:rPr/>
      </w:r>
      <w:r>
        <w:br w:type="page"/>
      </w:r>
    </w:p>
    <w:p>
      <w:pPr>
        <w:pStyle w:val="Heading1"/>
        <w:numPr>
          <w:ilvl w:val="0"/>
          <w:numId w:val="0"/>
        </w:numPr>
        <w:pBdr>
          <w:bottom w:val="single" w:sz="6" w:space="4" w:color="1F3864"/>
        </w:pBdr>
        <w:spacing w:before="0" w:after="160"/>
        <w:outlineLvl w:val="0"/>
        <w:rPr/>
      </w:pPr>
      <w:bookmarkStart w:id="25" w:name="__RefHeading___Toc433_2867630018"/>
      <w:bookmarkEnd w:id="25"/>
      <w:r>
        <w:rPr>
          <w:rFonts w:eastAsia="Calibri" w:cs="Calibri" w:ascii="Calibri" w:hAnsi="Calibri"/>
          <w:b/>
          <w:bCs/>
          <w:color w:val="1F3864"/>
        </w:rPr>
        <w:t>7. Appendices</w:t>
      </w:r>
    </w:p>
    <w:p>
      <w:pPr>
        <w:pStyle w:val="Heading2"/>
        <w:numPr>
          <w:ilvl w:val="0"/>
          <w:numId w:val="0"/>
        </w:numPr>
        <w:spacing w:before="280" w:after="120"/>
        <w:outlineLvl w:val="1"/>
        <w:rPr/>
      </w:pPr>
      <w:bookmarkStart w:id="26" w:name="__RefHeading___Toc435_2867630018"/>
      <w:bookmarkEnd w:id="26"/>
      <w:r>
        <w:rPr>
          <w:rFonts w:eastAsia="Calibri" w:cs="Calibri" w:ascii="Calibri" w:hAnsi="Calibri"/>
          <w:b/>
          <w:bCs/>
          <w:color w:val="1F3864"/>
        </w:rPr>
        <w:t>Appendix A: Full IOC List</w:t>
      </w:r>
    </w:p>
    <w:tbl>
      <w:tblPr>
        <w:tblW w:w="9600" w:type="dxa"/>
        <w:jc w:val="left"/>
        <w:tblInd w:w="105" w:type="dxa"/>
        <w:tblLayout w:type="fixed"/>
        <w:tblCellMar>
          <w:top w:w="80" w:type="dxa"/>
          <w:left w:w="100" w:type="dxa"/>
          <w:bottom w:w="80" w:type="dxa"/>
          <w:right w:w="100" w:type="dxa"/>
        </w:tblCellMar>
      </w:tblPr>
      <w:tblGrid>
        <w:gridCol w:w="1600"/>
        <w:gridCol w:w="3600"/>
        <w:gridCol w:w="4400"/>
      </w:tblGrid>
      <w:tr>
        <w:trPr>
          <w:tblHeader w:val="true"/>
        </w:trPr>
        <w:tc>
          <w:tcPr>
            <w:tcW w:w="16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left"/>
              <w:rPr/>
            </w:pPr>
            <w:r>
              <w:rPr>
                <w:rFonts w:eastAsia="Calibri" w:cs="Calibri" w:ascii="Calibri" w:hAnsi="Calibri"/>
                <w:b/>
                <w:bCs/>
                <w:color w:val="FFFFFF"/>
                <w:sz w:val="20"/>
                <w:szCs w:val="20"/>
              </w:rPr>
              <w:t>Type</w:t>
            </w:r>
          </w:p>
        </w:tc>
        <w:tc>
          <w:tcPr>
            <w:tcW w:w="36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left"/>
              <w:rPr/>
            </w:pPr>
            <w:r>
              <w:rPr>
                <w:rFonts w:eastAsia="Calibri" w:cs="Calibri" w:ascii="Calibri" w:hAnsi="Calibri"/>
                <w:b/>
                <w:bCs/>
                <w:color w:val="FFFFFF"/>
                <w:sz w:val="20"/>
                <w:szCs w:val="20"/>
              </w:rPr>
              <w:t>Value</w:t>
            </w:r>
          </w:p>
        </w:tc>
        <w:tc>
          <w:tcPr>
            <w:tcW w:w="44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left"/>
              <w:rPr/>
            </w:pPr>
            <w:r>
              <w:rPr>
                <w:rFonts w:eastAsia="Calibri" w:cs="Calibri" w:ascii="Calibri" w:hAnsi="Calibri"/>
                <w:b/>
                <w:bCs/>
                <w:color w:val="FFFFFF"/>
                <w:sz w:val="20"/>
                <w:szCs w:val="20"/>
              </w:rPr>
              <w:t>Context</w:t>
            </w:r>
          </w:p>
        </w:tc>
      </w:tr>
      <w:tr>
        <w:trPr/>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Process</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chrome.exe --remote-debugging-port=9222</w:t>
            </w:r>
          </w:p>
        </w:tc>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Chrome launched with DevTools debugging port exposed; abused to access live session state.</w:t>
            </w:r>
          </w:p>
        </w:tc>
      </w:tr>
      <w:tr>
        <w:trPr/>
        <w:tc>
          <w:tcPr>
            <w:tcW w:w="1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Network Port</w:t>
            </w:r>
          </w:p>
        </w:tc>
        <w:tc>
          <w:tcPr>
            <w:tcW w:w="3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9222/tcp (localhost)</w:t>
            </w:r>
          </w:p>
        </w:tc>
        <w:tc>
          <w:tcPr>
            <w:tcW w:w="44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Default Chrome remote debugging port targeted by the PowerShell collection script.</w:t>
            </w:r>
          </w:p>
        </w:tc>
      </w:tr>
      <w:tr>
        <w:trPr/>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IP Address</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203.0.113.42</w:t>
            </w:r>
          </w:p>
        </w:tc>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External IP used by the attacker to sign in to Azure AD with the stolen session cookie.</w:t>
            </w:r>
          </w:p>
        </w:tc>
      </w:tr>
      <w:tr>
        <w:trPr/>
        <w:tc>
          <w:tcPr>
            <w:tcW w:w="1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User-Agent</w:t>
            </w:r>
          </w:p>
        </w:tc>
        <w:tc>
          <w:tcPr>
            <w:tcW w:w="3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Mozilla/5.0 (Windows NT 10.0; Win64; x64) ...</w:t>
            </w:r>
          </w:p>
        </w:tc>
        <w:tc>
          <w:tcPr>
            <w:tcW w:w="44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User-agent string associated with the anomalous Azure AD sign-in event.</w:t>
            </w:r>
          </w:p>
        </w:tc>
      </w:tr>
    </w:tbl>
    <w:p>
      <w:pPr>
        <w:pStyle w:val="Normal"/>
        <w:spacing w:before="240" w:after="0"/>
        <w:rPr/>
      </w:pPr>
      <w:r>
        <w:rPr/>
      </w:r>
    </w:p>
    <w:p>
      <w:pPr>
        <w:pStyle w:val="Heading2"/>
        <w:numPr>
          <w:ilvl w:val="0"/>
          <w:numId w:val="0"/>
        </w:numPr>
        <w:spacing w:before="280" w:after="120"/>
        <w:outlineLvl w:val="1"/>
        <w:rPr/>
      </w:pPr>
      <w:bookmarkStart w:id="27" w:name="__RefHeading___Toc437_2867630018"/>
      <w:bookmarkEnd w:id="27"/>
      <w:r>
        <w:rPr>
          <w:rFonts w:eastAsia="Calibri" w:cs="Calibri" w:ascii="Calibri" w:hAnsi="Calibri"/>
          <w:b/>
          <w:bCs/>
          <w:color w:val="1F3864"/>
        </w:rPr>
        <w:t>Appendix B: Raw Timeline</w:t>
      </w:r>
    </w:p>
    <w:tbl>
      <w:tblPr>
        <w:tblW w:w="10000" w:type="dxa"/>
        <w:jc w:val="left"/>
        <w:tblInd w:w="105" w:type="dxa"/>
        <w:tblLayout w:type="fixed"/>
        <w:tblCellMar>
          <w:top w:w="80" w:type="dxa"/>
          <w:left w:w="100" w:type="dxa"/>
          <w:bottom w:w="80" w:type="dxa"/>
          <w:right w:w="100" w:type="dxa"/>
        </w:tblCellMar>
      </w:tblPr>
      <w:tblGrid>
        <w:gridCol w:w="2000"/>
        <w:gridCol w:w="2400"/>
        <w:gridCol w:w="5600"/>
      </w:tblGrid>
      <w:tr>
        <w:trPr>
          <w:tblHeader w:val="true"/>
        </w:trPr>
        <w:tc>
          <w:tcPr>
            <w:tcW w:w="20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left"/>
              <w:rPr/>
            </w:pPr>
            <w:r>
              <w:rPr>
                <w:rFonts w:eastAsia="Calibri" w:cs="Calibri" w:ascii="Calibri" w:hAnsi="Calibri"/>
                <w:b/>
                <w:bCs/>
                <w:color w:val="FFFFFF"/>
                <w:sz w:val="20"/>
                <w:szCs w:val="20"/>
              </w:rPr>
              <w:t>Timestamp (UTC)</w:t>
            </w:r>
          </w:p>
        </w:tc>
        <w:tc>
          <w:tcPr>
            <w:tcW w:w="24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left"/>
              <w:rPr/>
            </w:pPr>
            <w:r>
              <w:rPr>
                <w:rFonts w:eastAsia="Calibri" w:cs="Calibri" w:ascii="Calibri" w:hAnsi="Calibri"/>
                <w:b/>
                <w:bCs/>
                <w:color w:val="FFFFFF"/>
                <w:sz w:val="20"/>
                <w:szCs w:val="20"/>
              </w:rPr>
              <w:t>Stage</w:t>
            </w:r>
          </w:p>
        </w:tc>
        <w:tc>
          <w:tcPr>
            <w:tcW w:w="56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left"/>
              <w:rPr/>
            </w:pPr>
            <w:r>
              <w:rPr>
                <w:rFonts w:eastAsia="Calibri" w:cs="Calibri" w:ascii="Calibri" w:hAnsi="Calibri"/>
                <w:b/>
                <w:bCs/>
                <w:color w:val="FFFFFF"/>
                <w:sz w:val="20"/>
                <w:szCs w:val="20"/>
              </w:rPr>
              <w:t>Event</w:t>
            </w:r>
          </w:p>
        </w:tc>
      </w:tr>
      <w:tr>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14:32:15</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Initial Access / Execution</w:t>
            </w:r>
          </w:p>
        </w:tc>
        <w:tc>
          <w:tcPr>
            <w:tcW w:w="5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Chrome launched on victim endpoint with --remote-debugging-port=9222, exposing the browser's DevTools protocol.</w:t>
            </w:r>
          </w:p>
        </w:tc>
      </w:tr>
      <w:tr>
        <w:trPr/>
        <w:tc>
          <w:tcPr>
            <w:tcW w:w="20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14:33:00</w:t>
            </w:r>
          </w:p>
        </w:tc>
        <w:tc>
          <w:tcPr>
            <w:tcW w:w="24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Credential Access</w:t>
            </w:r>
          </w:p>
        </w:tc>
        <w:tc>
          <w:tcPr>
            <w:tcW w:w="5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PowerShell script observed connecting to the local Chrome remote debugging endpoint (localhost:9222).</w:t>
            </w:r>
          </w:p>
        </w:tc>
      </w:tr>
      <w:tr>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14:35:22</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Collection / Exfiltration</w:t>
            </w:r>
          </w:p>
        </w:tc>
        <w:tc>
          <w:tcPr>
            <w:tcW w:w="5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Session cookies extracted from the browser process and exfiltrated from the endpoint.</w:t>
            </w:r>
          </w:p>
        </w:tc>
      </w:tr>
      <w:tr>
        <w:trPr/>
        <w:tc>
          <w:tcPr>
            <w:tcW w:w="20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14:45:00</w:t>
            </w:r>
          </w:p>
        </w:tc>
        <w:tc>
          <w:tcPr>
            <w:tcW w:w="24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Initial Access (Cloud)</w:t>
            </w:r>
          </w:p>
        </w:tc>
        <w:tc>
          <w:tcPr>
            <w:tcW w:w="5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rFonts w:eastAsia="Calibri" w:cs="Calibri" w:ascii="Calibri" w:hAnsi="Calibri"/>
                <w:b w:val="false"/>
                <w:bCs w:val="false"/>
                <w:color w:val="000000"/>
                <w:sz w:val="20"/>
                <w:szCs w:val="20"/>
              </w:rPr>
              <w:t>Sign-in to Azure AD from attacker-controlled IP 203.0.113.42 using the stolen session cookie – no password or MFA challenge triggered.</w:t>
            </w:r>
          </w:p>
        </w:tc>
      </w:tr>
      <w:tr>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14:52:00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Discovery</w:t>
            </w:r>
          </w:p>
        </w:tc>
        <w:tc>
          <w:tcPr>
            <w:tcW w:w="5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color w:val="000000"/>
                <w:sz w:val="20"/>
                <w:szCs w:val="20"/>
              </w:rPr>
              <w:t>Attacker enumerated Azure AD users and groups from the hijacked session.</w:t>
            </w:r>
          </w:p>
        </w:tc>
      </w:tr>
    </w:tbl>
    <w:p>
      <w:pPr>
        <w:pStyle w:val="Normal"/>
        <w:spacing w:before="240" w:after="0"/>
        <w:rPr/>
      </w:pPr>
      <w:r>
        <w:rPr/>
      </w:r>
    </w:p>
    <w:p>
      <w:pPr>
        <w:pStyle w:val="Heading2"/>
        <w:numPr>
          <w:ilvl w:val="0"/>
          <w:numId w:val="0"/>
        </w:numPr>
        <w:spacing w:before="280" w:after="120"/>
        <w:outlineLvl w:val="1"/>
        <w:rPr/>
      </w:pPr>
      <w:bookmarkStart w:id="28" w:name="__RefHeading___Toc439_2867630018"/>
      <w:bookmarkEnd w:id="28"/>
      <w:r>
        <w:rPr>
          <w:rFonts w:eastAsia="Calibri" w:cs="Calibri" w:ascii="Calibri" w:hAnsi="Calibri"/>
          <w:b/>
          <w:bCs/>
          <w:color w:val="1F3864"/>
        </w:rPr>
        <w:t>Appendix C: References</w:t>
      </w:r>
    </w:p>
    <w:p>
      <w:pPr>
        <w:pStyle w:val="ListParagraph"/>
        <w:numPr>
          <w:ilvl w:val="0"/>
          <w:numId w:val="1"/>
        </w:numPr>
        <w:spacing w:before="0" w:after="80"/>
        <w:rPr/>
      </w:pPr>
      <w:r>
        <w:rPr>
          <w:rFonts w:eastAsia="Calibri" w:cs="Calibri" w:ascii="Calibri" w:hAnsi="Calibri"/>
        </w:rPr>
        <w:t>MITRE ATT&amp;CK – T1539: Steal Web Session Cookie – https://attack.mitre.org/techniques/T1539/</w:t>
      </w:r>
    </w:p>
    <w:p>
      <w:pPr>
        <w:pStyle w:val="ListParagraph"/>
        <w:numPr>
          <w:ilvl w:val="0"/>
          <w:numId w:val="1"/>
        </w:numPr>
        <w:spacing w:before="0" w:after="80"/>
        <w:rPr/>
      </w:pPr>
      <w:r>
        <w:rPr>
          <w:rFonts w:eastAsia="Calibri" w:cs="Calibri" w:ascii="Calibri" w:hAnsi="Calibri"/>
        </w:rPr>
        <w:t>MITRE ATT&amp;CK – T1087.004: Account Discovery: Cloud Account – https://attack.mitre.org/techniques/T1087/004/</w:t>
      </w:r>
    </w:p>
    <w:p>
      <w:pPr>
        <w:pStyle w:val="ListParagraph"/>
        <w:numPr>
          <w:ilvl w:val="0"/>
          <w:numId w:val="1"/>
        </w:numPr>
        <w:spacing w:before="0" w:after="80"/>
        <w:rPr/>
      </w:pPr>
      <w:r>
        <w:rPr>
          <w:rFonts w:eastAsia="Calibri" w:cs="Calibri" w:ascii="Calibri" w:hAnsi="Calibri"/>
        </w:rPr>
        <w:t>MITRE ATT&amp;CK – T1078.004: Valid Accounts: Cloud Accounts – https://attack.mitre.org/techniques/T1078/004/</w:t>
      </w:r>
    </w:p>
    <w:p>
      <w:pPr>
        <w:pStyle w:val="ListParagraph"/>
        <w:numPr>
          <w:ilvl w:val="0"/>
          <w:numId w:val="1"/>
        </w:numPr>
        <w:spacing w:before="0" w:after="80"/>
        <w:rPr/>
      </w:pPr>
      <w:r>
        <w:rPr>
          <w:rFonts w:eastAsia="Calibri" w:cs="Calibri" w:ascii="Calibri" w:hAnsi="Calibri"/>
        </w:rPr>
        <w:t>Internal investigation summary: investigation-summary.md (source document for this report).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ascii="Calibri" w:hAnsi="Calibri"/>
        <w:color w:val="595959"/>
        <w:sz w:val="16"/>
        <w:szCs w:val="16"/>
      </w:rPr>
      <w:t xml:space="preserve">Page </w:t>
    </w:r>
    <w:r>
      <w:rPr>
        <w:rFonts w:eastAsia="Calibri" w:cs="Calibri" w:ascii="Calibri" w:hAnsi="Calibri"/>
      </w:rPr>
      <w:fldChar w:fldCharType="begin"/>
    </w:r>
    <w:r>
      <w:rPr>
        <w:rFonts w:eastAsia="Calibri" w:cs="Calibri" w:ascii="Calibri" w:hAnsi="Calibri"/>
      </w:rPr>
      <w:instrText xml:space="preserve"> PAGE </w:instrText>
    </w:r>
    <w:r>
      <w:rPr>
        <w:rFonts w:eastAsia="Calibri" w:cs="Calibri" w:ascii="Calibri" w:hAnsi="Calibri"/>
      </w:rPr>
      <w:fldChar w:fldCharType="separate"/>
    </w:r>
    <w:r>
      <w:rPr>
        <w:rFonts w:eastAsia="Calibri" w:cs="Calibri" w:ascii="Calibri" w:hAnsi="Calibri"/>
      </w:rPr>
      <w:t>10</w:t>
    </w:r>
    <w:r>
      <w:rPr>
        <w:rFonts w:eastAsia="Calibri" w:cs="Calibri" w:ascii="Calibri" w:hAnsi="Calibri"/>
      </w:rPr>
      <w:fldChar w:fldCharType="end"/>
    </w:r>
    <w:r>
      <w:rPr>
        <w:rFonts w:eastAsia="Calibri" w:cs="Calibri" w:ascii="Calibri" w:hAnsi="Calibri"/>
        <w:color w:val="595959"/>
        <w:sz w:val="16"/>
        <w:szCs w:val="16"/>
      </w:rPr>
      <w:t xml:space="preserve"> of </w:t>
    </w:r>
    <w:r>
      <w:rPr>
        <w:rFonts w:eastAsia="Calibri" w:cs="Calibri" w:ascii="Calibri" w:hAnsi="Calibri"/>
      </w:rPr>
      <w:fldChar w:fldCharType="begin"/>
    </w:r>
    <w:r>
      <w:rPr>
        <w:rFonts w:eastAsia="Calibri" w:cs="Calibri" w:ascii="Calibri" w:hAnsi="Calibri"/>
      </w:rPr>
      <w:instrText xml:space="preserve"> NUMPAGES </w:instrText>
    </w:r>
    <w:r>
      <w:rPr>
        <w:rFonts w:eastAsia="Calibri" w:cs="Calibri" w:ascii="Calibri" w:hAnsi="Calibri"/>
      </w:rPr>
      <w:fldChar w:fldCharType="separate"/>
    </w:r>
    <w:r>
      <w:rPr>
        <w:rFonts w:eastAsia="Calibri" w:cs="Calibri" w:ascii="Calibri" w:hAnsi="Calibri"/>
      </w:rPr>
      <w:t>10</w:t>
    </w:r>
    <w:r>
      <w:rPr>
        <w:rFonts w:eastAsia="Calibri" w:cs="Calibri" w:ascii="Calibri" w:hAnsi="Calibri"/>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ascii="Calibri" w:hAnsi="Calibri"/>
        <w:color w:val="595959"/>
        <w:sz w:val="16"/>
        <w:szCs w:val="16"/>
      </w:rPr>
      <w:t xml:space="preserve">Page </w:t>
    </w:r>
    <w:r>
      <w:rPr>
        <w:rFonts w:eastAsia="Calibri" w:cs="Calibri" w:ascii="Calibri" w:hAnsi="Calibri"/>
      </w:rPr>
      <w:fldChar w:fldCharType="begin"/>
    </w:r>
    <w:r>
      <w:rPr>
        <w:rFonts w:eastAsia="Calibri" w:cs="Calibri" w:ascii="Calibri" w:hAnsi="Calibri"/>
      </w:rPr>
      <w:instrText xml:space="preserve"> PAGE </w:instrText>
    </w:r>
    <w:r>
      <w:rPr>
        <w:rFonts w:eastAsia="Calibri" w:cs="Calibri" w:ascii="Calibri" w:hAnsi="Calibri"/>
      </w:rPr>
      <w:fldChar w:fldCharType="separate"/>
    </w:r>
    <w:r>
      <w:rPr>
        <w:rFonts w:eastAsia="Calibri" w:cs="Calibri" w:ascii="Calibri" w:hAnsi="Calibri"/>
      </w:rPr>
      <w:t>10</w:t>
    </w:r>
    <w:r>
      <w:rPr>
        <w:rFonts w:eastAsia="Calibri" w:cs="Calibri" w:ascii="Calibri" w:hAnsi="Calibri"/>
      </w:rPr>
      <w:fldChar w:fldCharType="end"/>
    </w:r>
    <w:r>
      <w:rPr>
        <w:rFonts w:eastAsia="Calibri" w:cs="Calibri" w:ascii="Calibri" w:hAnsi="Calibri"/>
        <w:color w:val="595959"/>
        <w:sz w:val="16"/>
        <w:szCs w:val="16"/>
      </w:rPr>
      <w:t xml:space="preserve"> of </w:t>
    </w:r>
    <w:r>
      <w:rPr>
        <w:rFonts w:eastAsia="Calibri" w:cs="Calibri" w:ascii="Calibri" w:hAnsi="Calibri"/>
      </w:rPr>
      <w:fldChar w:fldCharType="begin"/>
    </w:r>
    <w:r>
      <w:rPr>
        <w:rFonts w:eastAsia="Calibri" w:cs="Calibri" w:ascii="Calibri" w:hAnsi="Calibri"/>
      </w:rPr>
      <w:instrText xml:space="preserve"> NUMPAGES </w:instrText>
    </w:r>
    <w:r>
      <w:rPr>
        <w:rFonts w:eastAsia="Calibri" w:cs="Calibri" w:ascii="Calibri" w:hAnsi="Calibri"/>
      </w:rPr>
      <w:fldChar w:fldCharType="separate"/>
    </w:r>
    <w:r>
      <w:rPr>
        <w:rFonts w:eastAsia="Calibri" w:cs="Calibri" w:ascii="Calibri" w:hAnsi="Calibri"/>
      </w:rPr>
      <w:t>10</w:t>
    </w:r>
    <w:r>
      <w:rPr>
        <w:rFonts w:eastAsia="Calibri" w:cs="Calibri" w:ascii="Calibri" w:hAnsi="Calibri"/>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tabs>
        <w:tab w:val="clear" w:pos="720"/>
        <w:tab w:val="right" w:pos="9026" w:leader="none"/>
      </w:tabs>
      <w:rPr/>
    </w:pPr>
    <w:r>
      <w:rPr>
        <w:rFonts w:eastAsia="Calibri" w:cs="Calibri" w:ascii="Calibri" w:hAnsi="Calibri"/>
        <w:b/>
        <w:bCs/>
        <w:color w:val="8B0000"/>
        <w:sz w:val="16"/>
        <w:szCs w:val="16"/>
      </w:rPr>
      <w:t>CONFIDENTIAL</w:t>
    </w:r>
    <w:r>
      <w:rPr>
        <w:rFonts w:eastAsia="Calibri" w:cs="Calibri" w:ascii="Calibri" w:hAnsi="Calibri"/>
        <w:color w:val="595959"/>
        <w:sz w:val="16"/>
        <w:szCs w:val="16"/>
      </w:rPr>
      <w:tab/>
      <w:t>IR-2025-0301-01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tabs>
        <w:tab w:val="clear" w:pos="720"/>
        <w:tab w:val="right" w:pos="9026" w:leader="none"/>
      </w:tabs>
      <w:rPr/>
    </w:pPr>
    <w:r>
      <w:rPr>
        <w:rFonts w:eastAsia="Calibri" w:cs="Calibri" w:ascii="Calibri" w:hAnsi="Calibri"/>
        <w:b/>
        <w:bCs/>
        <w:color w:val="8B0000"/>
        <w:sz w:val="16"/>
        <w:szCs w:val="16"/>
      </w:rPr>
      <w:t>CONFIDENTIAL</w:t>
    </w:r>
    <w:r>
      <w:rPr>
        <w:rFonts w:eastAsia="Calibri" w:cs="Calibri" w:ascii="Calibri" w:hAnsi="Calibri"/>
        <w:color w:val="595959"/>
        <w:sz w:val="16"/>
        <w:szCs w:val="16"/>
      </w:rPr>
      <w:tab/>
      <w:t>IR-2025-0301-01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04"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76"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DejaVu 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DejaVu 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DejaVu 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10</Pages>
  <Words>1762</Words>
  <Characters>10831</Characters>
  <CharactersWithSpaces>12346</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2026-07-30T23:13:23Z</dcterms:created>
  <dc:creator>Incident Response Team</dc:creator>
  <dc:description/>
  <dc:language>en-US</dc:language>
  <cp:lastModifiedBy/>
  <dcterms:modified xsi:type="dcterms:W3CDTF">2026-07-30T13:15:45Z</dcterms:modified>
  <cp:revision>2</cp:revision>
  <dc:subject/>
  <dc:title>Incident Response Report - Azure Session Hijacking</dc:title>
</cp:coreProperties>
</file>