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1523"/>
        <w:gridCol w:w="10420"/>
        <w:gridCol w:w="1597"/>
        <w:gridCol w:w="1438"/>
        <w:gridCol w:w="2025"/>
      </w:tblGrid>
      <w:tr>
        <w:trPr>
          <w:trHeight w:val="615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Description (Mean±SD or categories)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Observed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Cronbach’s α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algorithmic_awareness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Numeric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 (0.38)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Numeric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51.07 (18.6)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Categorical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 (508, 42.3%); Female (689, 57.4%); NA (3, 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Numeric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2.64 (1.21)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residence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Categorical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Urban (751, 62.6%); Rural (449, 37.4%)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innovative_personality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Numeric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3.06 (0.94)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soc_net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Numeric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 (3.63)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childs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Numeric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 (0.78)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tech_self_efficacy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Numeric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 (0.38)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tech_operational_skills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Numeric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 (0.45)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tech_informative_skills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Numeric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 (0.39)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tech_social_skills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Numeric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 (0.43)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tech_creative_skills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Numeric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 (0.38)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Numeric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3.09 (1.3)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Numeric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3.28 (1.36)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Numeric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1.49 (1.04)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Numeric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2.84 (1.65)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Numeric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4.54 (0.77)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tiktok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Numeric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2.54 (1.58)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netflix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Numeric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 (1.2)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media_breadth_daily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Categorical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Non-daily user (187, 15.6%); &lt;5 daily user (557, 46.4%); &gt;=5 daily user (195, 16.2%); NA (261, 21.8%)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2026-03-19T22:51:59Z</dcterms:modified>
  <cp:category/>
</cp:coreProperties>
</file>