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2"/>
        <w:gridCol w:w="1124"/>
        <w:gridCol w:w="660"/>
        <w:gridCol w:w="569"/>
        <w:gridCol w:w="569"/>
        <w:gridCol w:w="569"/>
        <w:gridCol w:w="773"/>
        <w:gridCol w:w="667"/>
        <w:gridCol w:w="660"/>
        <w:gridCol w:w="462"/>
        <w:gridCol w:w="754"/>
        <w:gridCol w:w="891"/>
        <w:gridCol w:w="611"/>
        <w:gridCol w:w="921"/>
      </w:tblGrid>
      <w:tr>
        <w:trPr>
          <w:trHeight w:val="357" w:hRule="auto"/>
          <w:tblHeader/>
        </w:trPr>
        header1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SRMR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Decision</w:t>
            </w:r>
          </w:p>
        </w:tc>
      </w:tr>
      <w:tr>
        <w:trPr>
          <w:trHeight w:val="321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14,965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32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6" w:hRule="auto"/>
        </w:trPr>
        body6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47,237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1,555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14,477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  <w:t xml:space="preserve">-0.010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  <w:t xml:space="preserve">No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2025-10-12T15:12:38Z</dcterms:modified>
  <cp:category/>
</cp:coreProperties>
</file>