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72"/>
        <w:gridCol w:w="1124"/>
        <w:gridCol w:w="660"/>
        <w:gridCol w:w="569"/>
        <w:gridCol w:w="569"/>
        <w:gridCol w:w="569"/>
        <w:gridCol w:w="773"/>
        <w:gridCol w:w="667"/>
        <w:gridCol w:w="569"/>
        <w:gridCol w:w="462"/>
        <w:gridCol w:w="754"/>
        <w:gridCol w:w="891"/>
        <w:gridCol w:w="611"/>
        <w:gridCol w:w="921"/>
      </w:tblGrid>
      <w:tr>
        <w:trPr>
          <w:trHeight w:val="357" w:hRule="auto"/>
          <w:tblHeader/>
        </w:trPr>
        header1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Study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χ²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CFI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TLI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RMSEA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SRMR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Δχ²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Δdf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ΔCFI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ΔRMSEA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Decision</w:t>
            </w:r>
          </w:p>
        </w:tc>
      </w:tr>
      <w:tr>
        <w:trPr>
          <w:trHeight w:val="321" w:hRule="auto"/>
        </w:trPr>
        body1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PISA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 Configural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14,965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572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9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PISA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 Metric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</w:tr>
      <w:tr>
        <w:trPr>
          <w:trHeight w:val="29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PISA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 Scalar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</w:tr>
      <w:tr>
        <w:trPr>
          <w:trHeight w:val="32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ICILS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 Configural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ICILS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 Metric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</w:tr>
      <w:tr>
        <w:trPr>
          <w:trHeight w:val="297" w:hRule="auto"/>
        </w:trPr>
        body6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ICILS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 Scalar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26,254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8,564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C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8B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8B0000"/>
              </w:rPr>
              <w:t xml:space="preserve">-0.007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C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8B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8B0000"/>
              </w:rPr>
              <w:t xml:space="preserve">No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</cp:lastModifiedBy>
  <cp:revision>9</cp:revision>
  <dcterms:created xsi:type="dcterms:W3CDTF">2017-02-28T11:18:00Z</dcterms:created>
  <dcterms:modified xsi:type="dcterms:W3CDTF">2025-10-14T15:17:58Z</dcterms:modified>
  <cp:category/>
</cp:coreProperties>
</file>