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center"/>
      </w:pPr>
      <w:r>
        <w:rPr>
          <w:rFonts w:ascii="Verdana" w:cs="Verdana" w:eastAsia="Verdana" w:hAnsi="Verdana"/>
          <w:b/>
          <w:bCs/>
          <w:i w:val="false"/>
          <w:iCs w:val="false"/>
          <w:sz w:val="22"/>
          <w:szCs w:val="22"/>
        </w:rPr>
        <w:t xml:space="preserve">Universidad Nacional Abierta y a Distancia – UNAD</w:t>
      </w:r>
    </w:p>
    <w:p>
      <w:pPr>
        <w:spacing w:after="40" w:line="276"/>
        <w:jc w:val="center"/>
      </w:pPr>
      <w:r>
        <w:rPr>
          <w:rFonts w:ascii="Verdana" w:cs="Verdana" w:eastAsia="Verdana" w:hAnsi="Verdana"/>
          <w:b w:val="false"/>
          <w:bCs w:val="false"/>
          <w:i w:val="false"/>
          <w:iCs w:val="false"/>
          <w:sz w:val="20"/>
          <w:szCs w:val="20"/>
        </w:rPr>
        <w:t xml:space="preserve">Escuela de Ciencias de la Educación (ECEDU)</w:t>
      </w:r>
    </w:p>
    <w:p>
      <w:pPr>
        <w:spacing w:after="140" w:line="276"/>
        <w:jc w:val="center"/>
      </w:pPr>
      <w:r>
        <w:rPr>
          <w:rFonts w:ascii="Verdana" w:cs="Verdana" w:eastAsia="Verdana" w:hAnsi="Verdana"/>
          <w:b w:val="false"/>
          <w:bCs w:val="false"/>
          <w:i w:val="false"/>
          <w:iCs w:val="false"/>
          <w:sz w:val="20"/>
          <w:szCs w:val="20"/>
        </w:rPr>
        <w:t xml:space="preserve">Maestría en Mediación Pedagógica en el Aprendizaje del Inglés (MMPAI)</w:t>
      </w:r>
    </w:p>
    <w:p>
      <w:pPr>
        <w:spacing w:after="40" w:line="276"/>
        <w:jc w:val="center"/>
      </w:pPr>
      <w:r>
        <w:rPr>
          <w:rFonts w:ascii="Verdana" w:cs="Verdana" w:eastAsia="Verdana" w:hAnsi="Verdana"/>
          <w:b/>
          <w:bCs/>
          <w:i w:val="false"/>
          <w:iCs w:val="false"/>
          <w:sz w:val="24"/>
          <w:szCs w:val="24"/>
        </w:rPr>
        <w:t xml:space="preserve">RETROALIMENTACIÓN INTEGRADA DE LAS GUÍAS DE APRENDIZAJE Y EL SYLLABUS</w:t>
      </w:r>
    </w:p>
    <w:p>
      <w:pPr>
        <w:spacing w:after="160" w:line="276"/>
        <w:jc w:val="center"/>
      </w:pPr>
      <w:r>
        <w:rPr>
          <w:rFonts w:ascii="Verdana" w:cs="Verdana" w:eastAsia="Verdana" w:hAnsi="Verdana"/>
          <w:b w:val="false"/>
          <w:bCs w:val="false"/>
          <w:i/>
          <w:iCs/>
          <w:sz w:val="20"/>
          <w:szCs w:val="20"/>
        </w:rPr>
        <w:t xml:space="preserve">Curso: Academic Writing in Scientific Research (Código 503969914) – Modalidad CuVUnAD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Documentos de referencia</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Syllabus del curso (última versión 2, registro de control de versiones del 26/09/2026); Guías de Aprendizaje Fases 1 a 5; informe previo de retroalimentación de las guías (23/09/2026).</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Guías integradas</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Fase 1 – Contextualization - Prior knowledge | Fase 2 – Rhetorical Structure and Convention in the Research Article | Fase 3 – Appraisal of Source Integration and Verification in a Research Report | Fase 4 – Evaluation of the Research Argument | Fase 5 – Comprehensive Assessment of a Scientific Text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Alcance de esta revisión</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Integrar el syllabus con las cinco guías y actualizar los hallazgos del informe previo, que se elaboró sin disponer aún de la Guía de la Fase 5 ni de la versión 2 del syllabus.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Fecha del informe</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19 de octubre de 2026</w:t>
            </w:r>
          </w:p>
        </w:tc>
      </w:tr>
    </w:tbl>
    <w:p>
      <w:pPr>
        <w:spacing w:after="80" w:line="276"/>
      </w:pPr>
      <w:r>
        <w:rPr>
          <w:rFonts w:ascii="Verdana" w:cs="Verdana" w:eastAsia="Verdana" w:hAnsi="Verdana"/>
          <w:b w:val="false"/>
          <w:bCs w:val="false"/>
          <w:i w:val="false"/>
          <w:iCs w:val="false"/>
          <w:sz w:val="20"/>
          <w:szCs w:val="20"/>
        </w:rPr>
        <w:t xml:space="preserve"/>
      </w:r>
    </w:p>
    <w:p>
      <w:pPr>
        <w:pStyle w:val="Heading1"/>
        <w:spacing w:after="120" w:before="240"/>
      </w:pPr>
      <w:r>
        <w:rPr>
          <w:rFonts w:ascii="Verdana" w:cs="Verdana" w:eastAsia="Verdana" w:hAnsi="Verdana"/>
          <w:b/>
          <w:bCs/>
          <w:i w:val="false"/>
          <w:iCs w:val="false"/>
          <w:sz w:val="24"/>
          <w:szCs w:val="24"/>
        </w:rPr>
        <w:t xml:space="preserve">1. Objetivo y metodología</w:t>
      </w:r>
    </w:p>
    <w:p>
      <w:pPr>
        <w:spacing w:after="120" w:line="276"/>
      </w:pPr>
      <w:r>
        <w:rPr>
          <w:rFonts w:ascii="Verdana" w:cs="Verdana" w:eastAsia="Verdana" w:hAnsi="Verdana"/>
          <w:b w:val="false"/>
          <w:bCs w:val="false"/>
          <w:i w:val="false"/>
          <w:iCs w:val="false"/>
          <w:sz w:val="20"/>
          <w:szCs w:val="20"/>
        </w:rPr>
        <w:t xml:space="preserve">Este informe integra el syllabus del curso (versión 2) con las cinco Guías de Aprendizaje y actualiza los hallazgos del informe previo del 23 de septiembre de 2026. Aquel informe revisó cuatro guías frente a una versión anterior del syllabus; en el momento de su elaboración no se disponía de la Guía de la Fase 5 ni de la versión 2 del syllabus (cuyo registro de control de versiones está fechado el 26 de septiembre de 2026, es decir, posterior al informe).</w:t>
      </w:r>
    </w:p>
    <w:p>
      <w:pPr>
        <w:spacing w:after="120" w:line="276"/>
      </w:pPr>
      <w:r>
        <w:rPr>
          <w:rFonts w:ascii="Verdana" w:cs="Verdana" w:eastAsia="Verdana" w:hAnsi="Verdana"/>
          <w:b w:val="false"/>
          <w:bCs w:val="false"/>
          <w:i w:val="false"/>
          <w:iCs w:val="false"/>
          <w:sz w:val="20"/>
          <w:szCs w:val="20"/>
        </w:rPr>
        <w:t xml:space="preserve">La revisión contrasta, para cada fase, el nombre de la actividad, el resultado de aprendizaje (RA) declarado, el Objeto Virtual de Aprendizaje (VLO) referenciado, el puntaje, el porcentaje, el momento evaluativo y las fechas, frente a lo que establece el syllabus. Donde la evidencia conjunta permite confirmar, matizar o corregir un hallazgo previo, se indica de manera explícita.</w:t>
      </w:r>
    </w:p>
    <w:p>
      <w:pPr>
        <w:pStyle w:val="Heading1"/>
        <w:spacing w:after="120" w:before="240"/>
      </w:pPr>
      <w:r>
        <w:rPr>
          <w:rFonts w:ascii="Verdana" w:cs="Verdana" w:eastAsia="Verdana" w:hAnsi="Verdana"/>
          <w:b/>
          <w:bCs/>
          <w:i w:val="false"/>
          <w:iCs w:val="false"/>
          <w:sz w:val="24"/>
          <w:szCs w:val="24"/>
        </w:rPr>
        <w:t xml:space="preserve">2. Actualización del hallazgo estructural: el curso sí tiene 5 fases y 500 puntos</w:t>
      </w:r>
    </w:p>
    <w:p>
      <w:pPr>
        <w:spacing w:after="120" w:line="276"/>
      </w:pPr>
      <w:r>
        <w:rPr>
          <w:rFonts w:ascii="Verdana" w:cs="Verdana" w:eastAsia="Verdana" w:hAnsi="Verdana"/>
          <w:b w:val="false"/>
          <w:bCs w:val="false"/>
          <w:i w:val="false"/>
          <w:iCs w:val="false"/>
          <w:sz w:val="20"/>
          <w:szCs w:val="20"/>
        </w:rPr>
        <w:t xml:space="preserve">El informe previo planteó como hallazgo crítico que el curso parecía estar operacionalizándose en 4 fases (375 puntos) en lugar de las 5 fases (500 puntos) descritas por el syllabus. Con la Guía de la Fase 5 ahora disponible y el syllabus en su versión 2, ese hallazgo queda resuelto: las cinco guías suman 500 puntos, con la distribución 5 % / 20 % / 25 % / 25 % / 25 %, idéntica a la del syllabus. La lectura de “4 fases” era un efecto de que la quinta guía no estaba disponible para el informe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50"/>
        <w:gridCol w:w="1150"/>
        <w:gridCol w:w="1050"/>
        <w:gridCol w:w="271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line="240"/>
            </w:pPr>
            <w:r>
              <w:rPr>
                <w:rFonts w:ascii="Verdana" w:cs="Verdana" w:eastAsia="Verdana" w:hAnsi="Verdana"/>
                <w:b/>
                <w:bCs/>
                <w:i w:val="false"/>
                <w:iCs w:val="false"/>
                <w:sz w:val="18"/>
                <w:szCs w:val="18"/>
              </w:rPr>
              <w:t xml:space="preserve">Fase</w:t>
            </w:r>
          </w:p>
        </w:tc>
        <w:tc>
          <w:tcPr>
            <w:tcW w:type="dxa" w:w="355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line="240"/>
            </w:pPr>
            <w:r>
              <w:rPr>
                <w:rFonts w:ascii="Verdana" w:cs="Verdana" w:eastAsia="Verdana" w:hAnsi="Verdana"/>
                <w:b/>
                <w:bCs/>
                <w:i w:val="false"/>
                <w:iCs w:val="false"/>
                <w:sz w:val="18"/>
                <w:szCs w:val="18"/>
              </w:rPr>
              <w:t xml:space="preserve">Nombre de la actividad (syllabus)</w:t>
            </w:r>
          </w:p>
        </w:tc>
        <w:tc>
          <w:tcPr>
            <w:tcW w:type="dxa" w:w="115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line="240"/>
            </w:pPr>
            <w:r>
              <w:rPr>
                <w:rFonts w:ascii="Verdana" w:cs="Verdana" w:eastAsia="Verdana" w:hAnsi="Verdana"/>
                <w:b/>
                <w:bCs/>
                <w:i w:val="false"/>
                <w:iCs w:val="false"/>
                <w:sz w:val="18"/>
                <w:szCs w:val="18"/>
              </w:rPr>
              <w:t xml:space="preserve">Puntaje</w:t>
            </w:r>
          </w:p>
        </w:tc>
        <w:tc>
          <w:tcPr>
            <w:tcW w:type="dxa" w:w="105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line="240"/>
            </w:pPr>
            <w:r>
              <w:rPr>
                <w:rFonts w:ascii="Verdana" w:cs="Verdana" w:eastAsia="Verdana" w:hAnsi="Verdana"/>
                <w:b/>
                <w:bCs/>
                <w:i w:val="false"/>
                <w:iCs w:val="false"/>
                <w:sz w:val="18"/>
                <w:szCs w:val="18"/>
              </w:rPr>
              <w:t xml:space="preserve">%</w:t>
            </w:r>
          </w:p>
        </w:tc>
        <w:tc>
          <w:tcPr>
            <w:tcW w:type="dxa" w:w="271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line="240"/>
            </w:pPr>
            <w:r>
              <w:rPr>
                <w:rFonts w:ascii="Verdana" w:cs="Verdana" w:eastAsia="Verdana" w:hAnsi="Verdana"/>
                <w:b/>
                <w:bCs/>
                <w:i w:val="false"/>
                <w:iCs w:val="false"/>
                <w:sz w:val="18"/>
                <w:szCs w:val="18"/>
              </w:rPr>
              <w:t xml:space="preserve">Momento evaluativo</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1</w:t>
            </w:r>
          </w:p>
        </w:tc>
        <w:tc>
          <w:tcPr>
            <w:tcW w:type="dxa" w:w="35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Contextualization - Prior knowledge</w:t>
            </w:r>
          </w:p>
        </w:tc>
        <w:tc>
          <w:tcPr>
            <w:tcW w:type="dxa" w:w="11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25</w:t>
            </w:r>
          </w:p>
        </w:tc>
        <w:tc>
          <w:tcPr>
            <w:tcW w:type="dxa" w:w="10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5 %</w:t>
            </w:r>
          </w:p>
        </w:tc>
        <w:tc>
          <w:tcPr>
            <w:tcW w:type="dxa" w:w="271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Inicial</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2</w:t>
            </w:r>
          </w:p>
        </w:tc>
        <w:tc>
          <w:tcPr>
            <w:tcW w:type="dxa" w:w="35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Rhetorical Structure and Convention in the Research Article</w:t>
            </w:r>
          </w:p>
        </w:tc>
        <w:tc>
          <w:tcPr>
            <w:tcW w:type="dxa" w:w="11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100</w:t>
            </w:r>
          </w:p>
        </w:tc>
        <w:tc>
          <w:tcPr>
            <w:tcW w:type="dxa" w:w="10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20 %</w:t>
            </w:r>
          </w:p>
        </w:tc>
        <w:tc>
          <w:tcPr>
            <w:tcW w:type="dxa" w:w="271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Intermedio</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3</w:t>
            </w:r>
          </w:p>
        </w:tc>
        <w:tc>
          <w:tcPr>
            <w:tcW w:type="dxa" w:w="35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Appraisal of Source Integration in a Research Report</w:t>
            </w:r>
          </w:p>
        </w:tc>
        <w:tc>
          <w:tcPr>
            <w:tcW w:type="dxa" w:w="11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125</w:t>
            </w:r>
          </w:p>
        </w:tc>
        <w:tc>
          <w:tcPr>
            <w:tcW w:type="dxa" w:w="10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25 %</w:t>
            </w:r>
          </w:p>
        </w:tc>
        <w:tc>
          <w:tcPr>
            <w:tcW w:type="dxa" w:w="271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Intermedio</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4</w:t>
            </w:r>
          </w:p>
        </w:tc>
        <w:tc>
          <w:tcPr>
            <w:tcW w:type="dxa" w:w="35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Verification of Sources and Evaluation of the Research Argument</w:t>
            </w:r>
          </w:p>
        </w:tc>
        <w:tc>
          <w:tcPr>
            <w:tcW w:type="dxa" w:w="11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125</w:t>
            </w:r>
          </w:p>
        </w:tc>
        <w:tc>
          <w:tcPr>
            <w:tcW w:type="dxa" w:w="10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25 %</w:t>
            </w:r>
          </w:p>
        </w:tc>
        <w:tc>
          <w:tcPr>
            <w:tcW w:type="dxa" w:w="271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Intermedio</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5</w:t>
            </w:r>
          </w:p>
        </w:tc>
        <w:tc>
          <w:tcPr>
            <w:tcW w:type="dxa" w:w="35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Comprehensive Assessment of a Scientific Text</w:t>
            </w:r>
          </w:p>
        </w:tc>
        <w:tc>
          <w:tcPr>
            <w:tcW w:type="dxa" w:w="11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125</w:t>
            </w:r>
          </w:p>
        </w:tc>
        <w:tc>
          <w:tcPr>
            <w:tcW w:type="dxa" w:w="10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25 %</w:t>
            </w:r>
          </w:p>
        </w:tc>
        <w:tc>
          <w:tcPr>
            <w:tcW w:type="dxa" w:w="271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Final</w:t>
            </w:r>
          </w:p>
        </w:tc>
      </w:tr>
      <w:tr>
        <w:tc>
          <w:tcPr>
            <w:tcW w:type="dxa" w:w="900"/>
            <w:tcBorders>
              <w:top w:val="single" w:color="999999" w:sz="4"/>
              <w:left w:val="single" w:color="999999" w:sz="4"/>
              <w:bottom w:val="single" w:color="999999" w:sz="4"/>
              <w:right w:val="single" w:color="999999" w:sz="4"/>
            </w:tcBorders>
            <w:shd w:fill="EFEFEF" w:color="auto" w:val="clear"/>
            <w:tcMar>
              <w:top w:type="dxa" w:w="40"/>
              <w:left w:type="dxa" w:w="80"/>
              <w:bottom w:type="dxa" w:w="40"/>
              <w:right w:type="dxa" w:w="80"/>
            </w:tcMar>
          </w:tcPr>
          <w:p>
            <w:pPr>
              <w:spacing w:after="20" w:line="240"/>
            </w:pPr>
            <w:r>
              <w:rPr>
                <w:rFonts w:ascii="Verdana" w:cs="Verdana" w:eastAsia="Verdana" w:hAnsi="Verdana"/>
                <w:b/>
                <w:bCs/>
                <w:i w:val="false"/>
                <w:iCs w:val="false"/>
                <w:sz w:val="18"/>
                <w:szCs w:val="18"/>
              </w:rPr>
              <w:t xml:space="preserve"/>
            </w:r>
          </w:p>
        </w:tc>
        <w:tc>
          <w:tcPr>
            <w:tcW w:type="dxa" w:w="3550"/>
            <w:tcBorders>
              <w:top w:val="single" w:color="999999" w:sz="4"/>
              <w:left w:val="single" w:color="999999" w:sz="4"/>
              <w:bottom w:val="single" w:color="999999" w:sz="4"/>
              <w:right w:val="single" w:color="999999" w:sz="4"/>
            </w:tcBorders>
            <w:shd w:fill="EFEFEF" w:color="auto" w:val="clear"/>
            <w:tcMar>
              <w:top w:type="dxa" w:w="40"/>
              <w:left w:type="dxa" w:w="80"/>
              <w:bottom w:type="dxa" w:w="40"/>
              <w:right w:type="dxa" w:w="80"/>
            </w:tcMar>
          </w:tcPr>
          <w:p>
            <w:pPr>
              <w:spacing w:after="20" w:line="240"/>
            </w:pPr>
            <w:r>
              <w:rPr>
                <w:rFonts w:ascii="Verdana" w:cs="Verdana" w:eastAsia="Verdana" w:hAnsi="Verdana"/>
                <w:b/>
                <w:bCs/>
                <w:i w:val="false"/>
                <w:iCs w:val="false"/>
                <w:sz w:val="18"/>
                <w:szCs w:val="18"/>
              </w:rPr>
              <w:t xml:space="preserve">TOTAL</w:t>
            </w:r>
          </w:p>
        </w:tc>
        <w:tc>
          <w:tcPr>
            <w:tcW w:type="dxa" w:w="1150"/>
            <w:tcBorders>
              <w:top w:val="single" w:color="999999" w:sz="4"/>
              <w:left w:val="single" w:color="999999" w:sz="4"/>
              <w:bottom w:val="single" w:color="999999" w:sz="4"/>
              <w:right w:val="single" w:color="999999" w:sz="4"/>
            </w:tcBorders>
            <w:shd w:fill="EFEFEF" w:color="auto" w:val="clear"/>
            <w:tcMar>
              <w:top w:type="dxa" w:w="40"/>
              <w:left w:type="dxa" w:w="80"/>
              <w:bottom w:type="dxa" w:w="40"/>
              <w:right w:type="dxa" w:w="80"/>
            </w:tcMar>
          </w:tcPr>
          <w:p>
            <w:pPr>
              <w:spacing w:after="20" w:line="240"/>
            </w:pPr>
            <w:r>
              <w:rPr>
                <w:rFonts w:ascii="Verdana" w:cs="Verdana" w:eastAsia="Verdana" w:hAnsi="Verdana"/>
                <w:b/>
                <w:bCs/>
                <w:i w:val="false"/>
                <w:iCs w:val="false"/>
                <w:sz w:val="18"/>
                <w:szCs w:val="18"/>
              </w:rPr>
              <w:t xml:space="preserve">500</w:t>
            </w:r>
          </w:p>
        </w:tc>
        <w:tc>
          <w:tcPr>
            <w:tcW w:type="dxa" w:w="1050"/>
            <w:tcBorders>
              <w:top w:val="single" w:color="999999" w:sz="4"/>
              <w:left w:val="single" w:color="999999" w:sz="4"/>
              <w:bottom w:val="single" w:color="999999" w:sz="4"/>
              <w:right w:val="single" w:color="999999" w:sz="4"/>
            </w:tcBorders>
            <w:shd w:fill="EFEFEF" w:color="auto" w:val="clear"/>
            <w:tcMar>
              <w:top w:type="dxa" w:w="40"/>
              <w:left w:type="dxa" w:w="80"/>
              <w:bottom w:type="dxa" w:w="40"/>
              <w:right w:type="dxa" w:w="80"/>
            </w:tcMar>
          </w:tcPr>
          <w:p>
            <w:pPr>
              <w:spacing w:after="20" w:line="240"/>
            </w:pPr>
            <w:r>
              <w:rPr>
                <w:rFonts w:ascii="Verdana" w:cs="Verdana" w:eastAsia="Verdana" w:hAnsi="Verdana"/>
                <w:b/>
                <w:bCs/>
                <w:i w:val="false"/>
                <w:iCs w:val="false"/>
                <w:sz w:val="18"/>
                <w:szCs w:val="18"/>
              </w:rPr>
              <w:t xml:space="preserve">100 %</w:t>
            </w:r>
          </w:p>
        </w:tc>
        <w:tc>
          <w:tcPr>
            <w:tcW w:type="dxa" w:w="2710"/>
            <w:tcBorders>
              <w:top w:val="single" w:color="999999" w:sz="4"/>
              <w:left w:val="single" w:color="999999" w:sz="4"/>
              <w:bottom w:val="single" w:color="999999" w:sz="4"/>
              <w:right w:val="single" w:color="999999" w:sz="4"/>
            </w:tcBorders>
            <w:shd w:fill="EFEFEF" w:color="auto" w:val="clear"/>
            <w:tcMar>
              <w:top w:type="dxa" w:w="40"/>
              <w:left w:type="dxa" w:w="80"/>
              <w:bottom w:type="dxa" w:w="40"/>
              <w:right w:type="dxa" w:w="80"/>
            </w:tcMar>
          </w:tcPr>
          <w:p>
            <w:pPr>
              <w:spacing w:after="20" w:line="240"/>
            </w:pPr>
            <w:r>
              <w:rPr>
                <w:rFonts w:ascii="Verdana" w:cs="Verdana" w:eastAsia="Verdana" w:hAnsi="Verdana"/>
                <w:b/>
                <w:bCs/>
                <w:i w:val="false"/>
                <w:iCs w:val="false"/>
                <w:sz w:val="18"/>
                <w:szCs w:val="18"/>
              </w:rPr>
              <w:t xml:space="preserve">Inicial 25 (5 %) · Intermedio 350 (70 %) · Final 125 (25 %)</w:t>
            </w:r>
          </w:p>
        </w:tc>
      </w:tr>
    </w:tbl>
    <w:p>
      <w:pPr>
        <w:spacing w:after="60" w:line="276"/>
      </w:pPr>
      <w:r>
        <w:rPr>
          <w:rFonts w:ascii="Verdana" w:cs="Verdana" w:eastAsia="Verdana" w:hAnsi="Verdana"/>
          <w:b w:val="false"/>
          <w:bCs w:val="false"/>
          <w:i w:val="false"/>
          <w:iCs w:val="false"/>
          <w:sz w:val="20"/>
          <w:szCs w:val="20"/>
        </w:rPr>
        <w:t xml:space="preserve"/>
      </w:r>
    </w:p>
    <w:p>
      <w:pPr>
        <w:spacing w:after="120" w:line="276"/>
      </w:pPr>
      <w:r>
        <w:rPr>
          <w:rFonts w:ascii="Verdana" w:cs="Verdana" w:eastAsia="Verdana" w:hAnsi="Verdana"/>
          <w:b/>
          <w:bCs/>
          <w:i w:val="false"/>
          <w:iCs w:val="false"/>
          <w:sz w:val="20"/>
          <w:szCs w:val="20"/>
        </w:rPr>
        <w:t xml:space="preserve">Corrección asociada del informe previo. </w:t>
      </w:r>
      <w:r>
        <w:rPr>
          <w:rFonts w:ascii="Verdana" w:cs="Verdana" w:eastAsia="Verdana" w:hAnsi="Verdana"/>
          <w:b w:val="false"/>
          <w:bCs w:val="false"/>
          <w:i w:val="false"/>
          <w:iCs w:val="false"/>
          <w:sz w:val="20"/>
          <w:szCs w:val="20"/>
        </w:rPr>
        <w:t xml:space="preserve">El informe previo sugería cambiar el momento evaluativo de la Guía 4 de “Intermediate” a “Final”. El syllabus v2 ubica las Fases 2, 3 y 4 en el momento Intermedio y la Fase 5, en solitario, en el Final; por lo tanto, “Intermediate” en la Guía 4 es correcto y no debe modificarse.</w:t>
      </w:r>
    </w:p>
    <w:p>
      <w:pPr>
        <w:pStyle w:val="Heading1"/>
        <w:spacing w:after="120" w:before="240"/>
      </w:pPr>
      <w:r>
        <w:rPr>
          <w:rFonts w:ascii="Verdana" w:cs="Verdana" w:eastAsia="Verdana" w:hAnsi="Verdana"/>
          <w:b/>
          <w:bCs/>
          <w:i w:val="false"/>
          <w:iCs w:val="false"/>
          <w:sz w:val="24"/>
          <w:szCs w:val="24"/>
        </w:rPr>
        <w:t xml:space="preserve">3. Reconciliación detallada: syllabus ↔ guías</w:t>
      </w:r>
    </w:p>
    <w:p>
      <w:pPr>
        <w:spacing w:after="120" w:line="276"/>
      </w:pPr>
      <w:r>
        <w:rPr>
          <w:rFonts w:ascii="Verdana" w:cs="Verdana" w:eastAsia="Verdana" w:hAnsi="Verdana"/>
          <w:b w:val="false"/>
          <w:bCs w:val="false"/>
          <w:i w:val="false"/>
          <w:iCs w:val="false"/>
          <w:sz w:val="20"/>
          <w:szCs w:val="20"/>
        </w:rPr>
        <w:t xml:space="preserve">Las Fases 1, 2 y 5 coinciden plenamente con el syllabus en nombre de la actividad, resultado de aprendizaje, VLO, puntaje y momento evaluativo. Las fechas de las guías son secuenciales y no se solapan (F1 13–26 oct. · F2 27 oct.–25 nov. · F3 26 nov.–25 dic. · F4 26 dic.–24 ene. · F5 25 ene.–23 feb.). Las Fases 3 y 4 divergen en la manera de repartir el contenido del RA2 (verificación de fuentes y divulgación de herramientas) y del RA3.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290"/>
        <w:gridCol w:w="4290"/>
      </w:tblGrid>
      <w:tr>
        <w:trPr>
          <w:tblHeader/>
        </w:trPr>
        <w:tc>
          <w:tcPr>
            <w:tcW w:type="dxa" w:w="78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line="240"/>
            </w:pPr>
            <w:r>
              <w:rPr>
                <w:rFonts w:ascii="Verdana" w:cs="Verdana" w:eastAsia="Verdana" w:hAnsi="Verdana"/>
                <w:b/>
                <w:bCs/>
                <w:i w:val="false"/>
                <w:iCs w:val="false"/>
                <w:sz w:val="18"/>
                <w:szCs w:val="18"/>
              </w:rPr>
              <w:t xml:space="preserve">Fase</w:t>
            </w:r>
          </w:p>
        </w:tc>
        <w:tc>
          <w:tcPr>
            <w:tcW w:type="dxa" w:w="429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line="240"/>
            </w:pPr>
            <w:r>
              <w:rPr>
                <w:rFonts w:ascii="Verdana" w:cs="Verdana" w:eastAsia="Verdana" w:hAnsi="Verdana"/>
                <w:b/>
                <w:bCs/>
                <w:i w:val="false"/>
                <w:iCs w:val="false"/>
                <w:sz w:val="18"/>
                <w:szCs w:val="18"/>
              </w:rPr>
              <w:t xml:space="preserve">Syllabus (nombre · RA · VLO)</w:t>
            </w:r>
          </w:p>
        </w:tc>
        <w:tc>
          <w:tcPr>
            <w:tcW w:type="dxa" w:w="429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line="240"/>
            </w:pPr>
            <w:r>
              <w:rPr>
                <w:rFonts w:ascii="Verdana" w:cs="Verdana" w:eastAsia="Verdana" w:hAnsi="Verdana"/>
                <w:b/>
                <w:bCs/>
                <w:i w:val="false"/>
                <w:iCs w:val="false"/>
                <w:sz w:val="18"/>
                <w:szCs w:val="18"/>
              </w:rPr>
              <w:t xml:space="preserve">Guía (nombre · RA · VLO)</w:t>
            </w:r>
          </w:p>
        </w:tc>
      </w:tr>
      <w:tr>
        <w:tc>
          <w:tcPr>
            <w:tcW w:type="dxa" w:w="780"/>
            <w:tcBorders>
              <w:top w:val="single" w:color="999999" w:sz="4"/>
              <w:left w:val="single" w:color="999999" w:sz="4"/>
              <w:bottom w:val="single" w:color="999999" w:sz="4"/>
              <w:right w:val="single" w:color="999999" w:sz="4"/>
            </w:tcBorders>
            <w:shd w:fill="E2EFDA" w:color="auto" w:val="clear"/>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1</w:t>
            </w:r>
          </w:p>
        </w:tc>
        <w:tc>
          <w:tcPr>
            <w:tcW w:type="dxa" w:w="4290"/>
            <w:tcBorders>
              <w:top w:val="single" w:color="999999" w:sz="4"/>
              <w:left w:val="single" w:color="999999" w:sz="4"/>
              <w:bottom w:val="single" w:color="999999" w:sz="4"/>
              <w:right w:val="single" w:color="999999" w:sz="4"/>
            </w:tcBorders>
            <w:shd w:fill="E2EFDA" w:color="auto" w:val="clear"/>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Contextualization - Prior knowledge · RA1 · “Academic and scientific genres”</w:t>
            </w:r>
          </w:p>
        </w:tc>
        <w:tc>
          <w:tcPr>
            <w:tcW w:type="dxa" w:w="4290"/>
            <w:tcBorders>
              <w:top w:val="single" w:color="999999" w:sz="4"/>
              <w:left w:val="single" w:color="999999" w:sz="4"/>
              <w:bottom w:val="single" w:color="999999" w:sz="4"/>
              <w:right w:val="single" w:color="999999" w:sz="4"/>
            </w:tcBorders>
            <w:shd w:fill="E2EFDA" w:color="auto" w:val="clear"/>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Igual · RA1 · igual</w:t>
            </w:r>
          </w:p>
        </w:tc>
      </w:tr>
      <w:tr>
        <w:tc>
          <w:tcPr>
            <w:tcW w:type="dxa" w:w="780"/>
            <w:tcBorders>
              <w:top w:val="single" w:color="999999" w:sz="4"/>
              <w:left w:val="single" w:color="999999" w:sz="4"/>
              <w:bottom w:val="single" w:color="999999" w:sz="4"/>
              <w:right w:val="single" w:color="999999" w:sz="4"/>
            </w:tcBorders>
            <w:shd w:fill="E2EFDA" w:color="auto" w:val="clear"/>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2</w:t>
            </w:r>
          </w:p>
        </w:tc>
        <w:tc>
          <w:tcPr>
            <w:tcW w:type="dxa" w:w="4290"/>
            <w:tcBorders>
              <w:top w:val="single" w:color="999999" w:sz="4"/>
              <w:left w:val="single" w:color="999999" w:sz="4"/>
              <w:bottom w:val="single" w:color="999999" w:sz="4"/>
              <w:right w:val="single" w:color="999999" w:sz="4"/>
            </w:tcBorders>
            <w:shd w:fill="E2EFDA" w:color="auto" w:val="clear"/>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Rhetorical Structure and Convention in the Research Article · RA1 · “Rhetorical plan in the research article”</w:t>
            </w:r>
          </w:p>
        </w:tc>
        <w:tc>
          <w:tcPr>
            <w:tcW w:type="dxa" w:w="4290"/>
            <w:tcBorders>
              <w:top w:val="single" w:color="999999" w:sz="4"/>
              <w:left w:val="single" w:color="999999" w:sz="4"/>
              <w:bottom w:val="single" w:color="999999" w:sz="4"/>
              <w:right w:val="single" w:color="999999" w:sz="4"/>
            </w:tcBorders>
            <w:shd w:fill="E2EFDA" w:color="auto" w:val="clear"/>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Igual · RA1 · igual</w:t>
            </w:r>
          </w:p>
        </w:tc>
      </w:tr>
      <w:tr>
        <w:tc>
          <w:tcPr>
            <w:tcW w:type="dxa" w:w="780"/>
            <w:tcBorders>
              <w:top w:val="single" w:color="999999" w:sz="4"/>
              <w:left w:val="single" w:color="999999" w:sz="4"/>
              <w:bottom w:val="single" w:color="999999" w:sz="4"/>
              <w:right w:val="single" w:color="999999" w:sz="4"/>
            </w:tcBorders>
            <w:shd w:fill="FBE4D5" w:color="auto" w:val="clear"/>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3</w:t>
            </w:r>
          </w:p>
        </w:tc>
        <w:tc>
          <w:tcPr>
            <w:tcW w:type="dxa" w:w="4290"/>
            <w:tcBorders>
              <w:top w:val="single" w:color="999999" w:sz="4"/>
              <w:left w:val="single" w:color="999999" w:sz="4"/>
              <w:bottom w:val="single" w:color="999999" w:sz="4"/>
              <w:right w:val="single" w:color="999999" w:sz="4"/>
            </w:tcBorders>
            <w:shd w:fill="FBE4D5" w:color="auto" w:val="clear"/>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Appraisal of Source Integration in a Research Report · RA2 · “Appraisal of source integration”</w:t>
            </w:r>
          </w:p>
        </w:tc>
        <w:tc>
          <w:tcPr>
            <w:tcW w:type="dxa" w:w="4290"/>
            <w:tcBorders>
              <w:top w:val="single" w:color="999999" w:sz="4"/>
              <w:left w:val="single" w:color="999999" w:sz="4"/>
              <w:bottom w:val="single" w:color="999999" w:sz="4"/>
              <w:right w:val="single" w:color="999999" w:sz="4"/>
            </w:tcBorders>
            <w:shd w:fill="FBE4D5" w:color="auto" w:val="clear"/>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Appraisal of Source Integration AND Verification in a Research Report · RA2 · “Source integration and verification”</w:t>
            </w:r>
          </w:p>
        </w:tc>
      </w:tr>
      <w:tr>
        <w:tc>
          <w:tcPr>
            <w:tcW w:type="dxa" w:w="780"/>
            <w:tcBorders>
              <w:top w:val="single" w:color="999999" w:sz="4"/>
              <w:left w:val="single" w:color="999999" w:sz="4"/>
              <w:bottom w:val="single" w:color="999999" w:sz="4"/>
              <w:right w:val="single" w:color="999999" w:sz="4"/>
            </w:tcBorders>
            <w:shd w:fill="FBE4D5" w:color="auto" w:val="clear"/>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4</w:t>
            </w:r>
          </w:p>
        </w:tc>
        <w:tc>
          <w:tcPr>
            <w:tcW w:type="dxa" w:w="4290"/>
            <w:tcBorders>
              <w:top w:val="single" w:color="999999" w:sz="4"/>
              <w:left w:val="single" w:color="999999" w:sz="4"/>
              <w:bottom w:val="single" w:color="999999" w:sz="4"/>
              <w:right w:val="single" w:color="999999" w:sz="4"/>
            </w:tcBorders>
            <w:shd w:fill="FBE4D5" w:color="auto" w:val="clear"/>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Verification of Sources AND Evaluation of the Research Argument · RA2 y 3 · “Source verification and tool disclosure”</w:t>
            </w:r>
          </w:p>
        </w:tc>
        <w:tc>
          <w:tcPr>
            <w:tcW w:type="dxa" w:w="4290"/>
            <w:tcBorders>
              <w:top w:val="single" w:color="999999" w:sz="4"/>
              <w:left w:val="single" w:color="999999" w:sz="4"/>
              <w:bottom w:val="single" w:color="999999" w:sz="4"/>
              <w:right w:val="single" w:color="999999" w:sz="4"/>
            </w:tcBorders>
            <w:shd w:fill="FBE4D5" w:color="auto" w:val="clear"/>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Evaluation of the Research Argument · RA3 · “Evaluation of the research argument”</w:t>
            </w:r>
          </w:p>
        </w:tc>
      </w:tr>
      <w:tr>
        <w:tc>
          <w:tcPr>
            <w:tcW w:type="dxa" w:w="780"/>
            <w:tcBorders>
              <w:top w:val="single" w:color="999999" w:sz="4"/>
              <w:left w:val="single" w:color="999999" w:sz="4"/>
              <w:bottom w:val="single" w:color="999999" w:sz="4"/>
              <w:right w:val="single" w:color="999999" w:sz="4"/>
            </w:tcBorders>
            <w:shd w:fill="E2EFDA" w:color="auto" w:val="clear"/>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5</w:t>
            </w:r>
          </w:p>
        </w:tc>
        <w:tc>
          <w:tcPr>
            <w:tcW w:type="dxa" w:w="4290"/>
            <w:tcBorders>
              <w:top w:val="single" w:color="999999" w:sz="4"/>
              <w:left w:val="single" w:color="999999" w:sz="4"/>
              <w:bottom w:val="single" w:color="999999" w:sz="4"/>
              <w:right w:val="single" w:color="999999" w:sz="4"/>
            </w:tcBorders>
            <w:shd w:fill="E2EFDA" w:color="auto" w:val="clear"/>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Comprehensive Assessment of a Scientific Text · RA1, 2 y 3 · “Comprehensive scientific text assessment”</w:t>
            </w:r>
          </w:p>
        </w:tc>
        <w:tc>
          <w:tcPr>
            <w:tcW w:type="dxa" w:w="4290"/>
            <w:tcBorders>
              <w:top w:val="single" w:color="999999" w:sz="4"/>
              <w:left w:val="single" w:color="999999" w:sz="4"/>
              <w:bottom w:val="single" w:color="999999" w:sz="4"/>
              <w:right w:val="single" w:color="999999" w:sz="4"/>
            </w:tcBorders>
            <w:shd w:fill="E2EFDA" w:color="auto" w:val="clear"/>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Igual · RA1, 2 y 3 · igual</w:t>
            </w:r>
          </w:p>
        </w:tc>
      </w:tr>
    </w:tbl>
    <w:p>
      <w:pPr>
        <w:spacing w:after="20" w:line="276"/>
      </w:pPr>
      <w:r>
        <w:rPr>
          <w:rFonts w:ascii="Verdana" w:cs="Verdana" w:eastAsia="Verdana" w:hAnsi="Verdana"/>
          <w:b w:val="false"/>
          <w:bCs w:val="false"/>
          <w:i w:val="false"/>
          <w:iCs w:val="false"/>
          <w:sz w:val="20"/>
          <w:szCs w:val="20"/>
        </w:rPr>
        <w:t xml:space="preserve"/>
      </w:r>
    </w:p>
    <w:p>
      <w:pPr>
        <w:spacing w:after="100" w:line="276"/>
      </w:pPr>
      <w:r>
        <w:rPr>
          <w:rFonts w:ascii="Verdana" w:cs="Verdana" w:eastAsia="Verdana" w:hAnsi="Verdana"/>
          <w:b/>
          <w:bCs/>
          <w:i w:val="false"/>
          <w:iCs w:val="false"/>
          <w:color w:val="548235"/>
          <w:sz w:val="20"/>
          <w:szCs w:val="20"/>
        </w:rPr>
        <w:t xml:space="preserve">Verde</w:t>
      </w:r>
      <w:r>
        <w:rPr>
          <w:rFonts w:ascii="Verdana" w:cs="Verdana" w:eastAsia="Verdana" w:hAnsi="Verdana"/>
          <w:b w:val="false"/>
          <w:bCs w:val="false"/>
          <w:i w:val="false"/>
          <w:iCs w:val="false"/>
          <w:sz w:val="20"/>
          <w:szCs w:val="20"/>
        </w:rPr>
        <w:t xml:space="preserve"> = coincide plenamente.  </w:t>
      </w:r>
      <w:r>
        <w:rPr>
          <w:rFonts w:ascii="Verdana" w:cs="Verdana" w:eastAsia="Verdana" w:hAnsi="Verdana"/>
          <w:b/>
          <w:bCs/>
          <w:i w:val="false"/>
          <w:iCs w:val="false"/>
          <w:color w:val="C55A11"/>
          <w:sz w:val="20"/>
          <w:szCs w:val="20"/>
        </w:rPr>
        <w:t xml:space="preserve">Naranja</w:t>
      </w:r>
      <w:r>
        <w:rPr>
          <w:rFonts w:ascii="Verdana" w:cs="Verdana" w:eastAsia="Verdana" w:hAnsi="Verdana"/>
          <w:b w:val="false"/>
          <w:bCs w:val="false"/>
          <w:i w:val="false"/>
          <w:iCs w:val="false"/>
          <w:sz w:val="20"/>
          <w:szCs w:val="20"/>
        </w:rPr>
        <w:t xml:space="preserve"> = divergencia entre guía/guion OVA y syllabus.</w:t>
      </w:r>
    </w:p>
    <w:p>
      <w:pPr>
        <w:pStyle w:val="Heading1"/>
        <w:spacing w:after="120" w:before="240"/>
      </w:pPr>
      <w:r>
        <w:rPr>
          <w:rFonts w:ascii="Verdana" w:cs="Verdana" w:eastAsia="Verdana" w:hAnsi="Verdana"/>
          <w:b/>
          <w:bCs/>
          <w:i w:val="false"/>
          <w:iCs w:val="false"/>
          <w:sz w:val="24"/>
          <w:szCs w:val="24"/>
        </w:rPr>
        <w:t xml:space="preserve">4. Discrepancia en las Fases 3 y 4 (documentada, no modificada)</w:t>
      </w:r>
    </w:p>
    <w:p>
      <w:pPr>
        <w:spacing w:after="120" w:line="276"/>
      </w:pPr>
      <w:r>
        <w:rPr>
          <w:rFonts w:ascii="Verdana" w:cs="Verdana" w:eastAsia="Verdana" w:hAnsi="Verdana"/>
          <w:b w:val="false"/>
          <w:bCs w:val="false"/>
          <w:i w:val="false"/>
          <w:iCs w:val="false"/>
          <w:sz w:val="20"/>
          <w:szCs w:val="20"/>
        </w:rPr>
        <w:t xml:space="preserve">Las guías y los guiones OVA conforman un conjunto internamente coherente que reparte el contenido de las Fases 3–4 de manera distinta a la del syllabus:</w:t>
      </w:r>
    </w:p>
    <w:p>
      <w:pPr>
        <w:spacing w:after="40" w:line="276"/>
      </w:pPr>
      <w:r>
        <w:rPr>
          <w:rFonts w:ascii="Verdana" w:cs="Verdana" w:eastAsia="Verdana" w:hAnsi="Verdana"/>
          <w:b/>
          <w:bCs/>
          <w:i w:val="false"/>
          <w:iCs w:val="false"/>
          <w:sz w:val="20"/>
          <w:szCs w:val="20"/>
        </w:rPr>
        <w:t xml:space="preserve">• Guías + OVA: </w:t>
      </w:r>
      <w:r>
        <w:rPr>
          <w:rFonts w:ascii="Verdana" w:cs="Verdana" w:eastAsia="Verdana" w:hAnsi="Verdana"/>
          <w:b w:val="false"/>
          <w:bCs w:val="false"/>
          <w:i w:val="false"/>
          <w:iCs w:val="false"/>
          <w:sz w:val="20"/>
          <w:szCs w:val="20"/>
        </w:rPr>
        <w:t xml:space="preserve">Fase 3 = integración de fuentes + verificación / divulgación de herramientas (todo el RA2); Fase 4 = evaluación del argumento de investigación (todo el RA3).</w:t>
      </w:r>
    </w:p>
    <w:p>
      <w:pPr>
        <w:spacing w:after="120" w:line="276"/>
      </w:pPr>
      <w:r>
        <w:rPr>
          <w:rFonts w:ascii="Verdana" w:cs="Verdana" w:eastAsia="Verdana" w:hAnsi="Verdana"/>
          <w:b/>
          <w:bCs/>
          <w:i w:val="false"/>
          <w:iCs w:val="false"/>
          <w:sz w:val="20"/>
          <w:szCs w:val="20"/>
        </w:rPr>
        <w:t xml:space="preserve">• Syllabus v2: </w:t>
      </w:r>
      <w:r>
        <w:rPr>
          <w:rFonts w:ascii="Verdana" w:cs="Verdana" w:eastAsia="Verdana" w:hAnsi="Verdana"/>
          <w:b w:val="false"/>
          <w:bCs w:val="false"/>
          <w:i w:val="false"/>
          <w:iCs w:val="false"/>
          <w:sz w:val="20"/>
          <w:szCs w:val="20"/>
        </w:rPr>
        <w:t xml:space="preserve">Fase 3 = integración de fuentes únicamente (RA2a); Fase 4 = verificación / divulgación de herramientas (RA2b) + evaluación del argumento (RA3).</w:t>
      </w:r>
    </w:p>
    <w:p>
      <w:pPr>
        <w:spacing w:after="120" w:line="276"/>
      </w:pPr>
      <w:r>
        <w:rPr>
          <w:rFonts w:ascii="Verdana" w:cs="Verdana" w:eastAsia="Verdana" w:hAnsi="Verdana"/>
          <w:b w:val="false"/>
          <w:bCs w:val="false"/>
          <w:i w:val="false"/>
          <w:iCs w:val="false"/>
          <w:sz w:val="20"/>
          <w:szCs w:val="20"/>
        </w:rPr>
        <w:t xml:space="preserve">Ambos arreglos cubren los mismos tres bloques de contenido (integración RA2, verificación/divulgación RA2 y argumento RA3) a lo largo de las Fases 3–4, y ambos suman 250 puntos en esas dos fases; difieren solo en el lugar donde se ubica el bloque de verificación y, en consecuencia, en los nombres de las fases, los nombres de los VLO y la etiqueta de RA de la Fase 4 (en la guía, RA3; en el syllabus, RA2 y 3).</w:t>
      </w:r>
    </w:p>
    <w:p>
      <w:pPr>
        <w:spacing w:after="120" w:line="276"/>
      </w:pPr>
      <w:r>
        <w:rPr>
          <w:rFonts w:ascii="Verdana" w:cs="Verdana" w:eastAsia="Verdana" w:hAnsi="Verdana"/>
          <w:b w:val="false"/>
          <w:bCs w:val="false"/>
          <w:i w:val="false"/>
          <w:iCs w:val="false"/>
          <w:sz w:val="20"/>
          <w:szCs w:val="20"/>
        </w:rPr>
        <w:t xml:space="preserve">Implicación práctica: la guía de la Fase 4 no incluye contenido de verificación / divulgación de herramientas en su cuestionario, mientras que el syllabus sí lo exige para esa fase. Un estudiante o un aplicativo de calificaciones guiado por el syllabus esperaría la verificación en la Fase 4, mientras que las guías la evalúan en la Fase 3.</w:t>
      </w:r>
    </w:p>
    <w:p>
      <w:pPr>
        <w:spacing w:after="120" w:line="276"/>
      </w:pPr>
      <w:r>
        <w:rPr>
          <w:rFonts w:ascii="Verdana" w:cs="Verdana" w:eastAsia="Verdana" w:hAnsi="Verdana"/>
          <w:b/>
          <w:bCs/>
          <w:i w:val="false"/>
          <w:iCs w:val="false"/>
          <w:sz w:val="20"/>
          <w:szCs w:val="20"/>
        </w:rPr>
        <w:t xml:space="preserve">Decisión adoptada: se conservan las Fases 3 y 4 tal como fueron entregadas —contenido y nombres sin cambios—. </w:t>
      </w:r>
      <w:r>
        <w:rPr>
          <w:rFonts w:ascii="Verdana" w:cs="Verdana" w:eastAsia="Verdana" w:hAnsi="Verdana"/>
          <w:b w:val="false"/>
          <w:bCs w:val="false"/>
          <w:i w:val="false"/>
          <w:iCs w:val="false"/>
          <w:sz w:val="20"/>
          <w:szCs w:val="20"/>
        </w:rPr>
        <w:t xml:space="preserve">Se preservan los títulos de fase y los nombres de los VLO de las guías (que coinciden con los guiones OVA) y no se traslada contenido entre fases. La divergencia se deja documentada para la coordinación académica, que decidirá si, más adelante, alinea las guías al syllabus o ajusta el syllabus a las guías. No se modificó ninguna de las dos guías.</w:t>
      </w:r>
    </w:p>
    <w:p>
      <w:pPr>
        <w:pStyle w:val="Heading1"/>
        <w:spacing w:after="120" w:before="240"/>
      </w:pPr>
      <w:r>
        <w:rPr>
          <w:rFonts w:ascii="Verdana" w:cs="Verdana" w:eastAsia="Verdana" w:hAnsi="Verdana"/>
          <w:b/>
          <w:bCs/>
          <w:i w:val="false"/>
          <w:iCs w:val="false"/>
          <w:sz w:val="24"/>
          <w:szCs w:val="24"/>
        </w:rPr>
        <w:t xml:space="preserve">5. Correspondencia confirmada en Fases 1, 2 y 5</w:t>
      </w:r>
    </w:p>
    <w:p>
      <w:pPr>
        <w:spacing w:after="120" w:line="276"/>
      </w:pPr>
      <w:r>
        <w:rPr>
          <w:rFonts w:ascii="Verdana" w:cs="Verdana" w:eastAsia="Verdana" w:hAnsi="Verdana"/>
          <w:b w:val="false"/>
          <w:bCs w:val="false"/>
          <w:i w:val="false"/>
          <w:iCs w:val="false"/>
          <w:sz w:val="20"/>
          <w:szCs w:val="20"/>
        </w:rPr>
        <w:t xml:space="preserve">Las Guías de las Fases 1, 2 y 5 reproducen con exactitud el nombre de la actividad y el VLO que fija el syllabus, con los resultados de aprendizaje, puntajes, momentos evaluativos y fechas correspondientes. En particular, la Guía de la Fase 5 materializa la fase integradora que el informe previo creía ausente: declara los tres resultados de aprendizaje (RA1, RA2 y RA3), toma un único texto científico como objeto de evaluación integral, documenta de forma explícita la reutilización del texto de Knight et al. (2020) proveniente de la Fase 4 y retoma los productos de las Fases 1 a 4, consolidando la secuencia de Aprendizaje Basado en la Investigación del syllabus.</w:t>
      </w:r>
    </w:p>
    <w:p>
      <w:pPr>
        <w:pStyle w:val="Heading1"/>
        <w:spacing w:after="120" w:before="240"/>
      </w:pPr>
      <w:r>
        <w:rPr>
          <w:rFonts w:ascii="Verdana" w:cs="Verdana" w:eastAsia="Verdana" w:hAnsi="Verdana"/>
          <w:b/>
          <w:bCs/>
          <w:i w:val="false"/>
          <w:iCs w:val="false"/>
          <w:sz w:val="24"/>
          <w:szCs w:val="24"/>
        </w:rPr>
        <w:t xml:space="preserve">6. Correcciones de forma aplicadas a las guías</w:t>
      </w:r>
    </w:p>
    <w:p>
      <w:pPr>
        <w:spacing w:after="120" w:line="276"/>
      </w:pPr>
      <w:r>
        <w:rPr>
          <w:rFonts w:ascii="Verdana" w:cs="Verdana" w:eastAsia="Verdana" w:hAnsi="Verdana"/>
          <w:b w:val="false"/>
          <w:bCs w:val="false"/>
          <w:i w:val="false"/>
          <w:iCs w:val="false"/>
          <w:sz w:val="20"/>
          <w:szCs w:val="20"/>
        </w:rPr>
        <w:t xml:space="preserve">Las siguientes correcciones son de superficie y no alteran la estructura del syllabus. Ambas se verificaron contra el syllabus.</w:t>
      </w:r>
    </w:p>
    <w:p>
      <w:pPr>
        <w:pStyle w:val="Heading2"/>
        <w:spacing w:after="100" w:before="180"/>
      </w:pPr>
      <w:r>
        <w:rPr>
          <w:rFonts w:ascii="Verdana" w:cs="Verdana" w:eastAsia="Verdana" w:hAnsi="Verdana"/>
          <w:b/>
          <w:bCs/>
          <w:i w:val="false"/>
          <w:iCs w:val="false"/>
          <w:sz w:val="22"/>
          <w:szCs w:val="22"/>
        </w:rPr>
        <w:t xml:space="preserve">6.1 Guía – Fase 2: resultado de aprendizaje declarado</w:t>
      </w:r>
    </w:p>
    <w:p>
      <w:pPr>
        <w:spacing w:after="120" w:line="276"/>
      </w:pPr>
      <w:r>
        <w:rPr>
          <w:rFonts w:ascii="Verdana" w:cs="Verdana" w:eastAsia="Verdana" w:hAnsi="Verdana"/>
          <w:b w:val="false"/>
          <w:bCs w:val="false"/>
          <w:i w:val="false"/>
          <w:iCs w:val="false"/>
          <w:sz w:val="20"/>
          <w:szCs w:val="20"/>
        </w:rPr>
        <w:t xml:space="preserve">El apartado “Detailed description of the Phase” declaraba, textualmente, el resultado de aprendizaje del RA1 (identificación de géneros), idéntico al de la Guía de la Fase 1, en lugar de describir la estructura retórica del artículo de investigación, que es el foco real de la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Antes</w:t>
            </w:r>
          </w:p>
        </w:tc>
        <w:tc>
          <w:tcPr>
            <w:tcW w:type="dxa" w:w="76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To analyze the principal genres of academic and scientific production according to the stage reached by a research project, its intended readership, and the rhetorical plan appropriate to each genre.</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Después</w:t>
            </w:r>
          </w:p>
        </w:tc>
        <w:tc>
          <w:tcPr>
            <w:tcW w:type="dxa" w:w="76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To analyze the rhetorical plan of the research article, explaining how its IMRaD structure and the rhetorical moves of each section respond to the rhetorical situation, the intended readership, and the conventions of the genre.</w:t>
            </w:r>
          </w:p>
        </w:tc>
      </w:tr>
    </w:tbl>
    <w:p>
      <w:pPr>
        <w:spacing w:after="20" w:line="276"/>
      </w:pPr>
      <w:r>
        <w:rPr>
          <w:rFonts w:ascii="Verdana" w:cs="Verdana" w:eastAsia="Verdana" w:hAnsi="Verdana"/>
          <w:b w:val="false"/>
          <w:bCs w:val="false"/>
          <w:i w:val="false"/>
          <w:iCs w:val="false"/>
          <w:sz w:val="20"/>
          <w:szCs w:val="20"/>
        </w:rPr>
        <w:t xml:space="preserve"/>
      </w:r>
    </w:p>
    <w:p>
      <w:pPr>
        <w:spacing w:after="120" w:line="276"/>
      </w:pPr>
      <w:r>
        <w:rPr>
          <w:rFonts w:ascii="Verdana" w:cs="Verdana" w:eastAsia="Verdana" w:hAnsi="Verdana"/>
          <w:b w:val="false"/>
          <w:bCs w:val="false"/>
          <w:i w:val="false"/>
          <w:iCs w:val="false"/>
          <w:sz w:val="20"/>
          <w:szCs w:val="20"/>
        </w:rPr>
        <w:t xml:space="preserve">El nuevo enunciado concuerda con el cuerpo de la Fase 2 y con la “Learning Evidence” que el syllabus fija para esa fase. Nota: el syllabus asigna tanto la Fase 1 como la Fase 2 al RA1, de modo que repetir el texto del RA1 era defendible; no obstante, un enunciado específico de la fase es más claro y es lo que recomendó el informe previo (prioridad: Importante).</w:t>
      </w:r>
    </w:p>
    <w:p>
      <w:pPr>
        <w:pStyle w:val="Heading2"/>
        <w:spacing w:after="100" w:before="180"/>
      </w:pPr>
      <w:r>
        <w:rPr>
          <w:rFonts w:ascii="Verdana" w:cs="Verdana" w:eastAsia="Verdana" w:hAnsi="Verdana"/>
          <w:b/>
          <w:bCs/>
          <w:i w:val="false"/>
          <w:iCs w:val="false"/>
          <w:sz w:val="22"/>
          <w:szCs w:val="22"/>
        </w:rPr>
        <w:t xml:space="preserve">6.2 Guía – Fase 1: documentación de la lectura reutilizada Jourdan et al. (2023)</w:t>
      </w:r>
    </w:p>
    <w:p>
      <w:pPr>
        <w:spacing w:after="120" w:line="276"/>
      </w:pPr>
      <w:r>
        <w:rPr>
          <w:rFonts w:ascii="Verdana" w:cs="Verdana" w:eastAsia="Verdana" w:hAnsi="Verdana"/>
          <w:b w:val="false"/>
          <w:bCs w:val="false"/>
          <w:i w:val="false"/>
          <w:iCs w:val="false"/>
          <w:sz w:val="20"/>
          <w:szCs w:val="20"/>
        </w:rPr>
        <w:t xml:space="preserve">Jourdan et al. (2023) aparece entre los cuatro textos-estímulo para la clasificación de género de la Fase 1, pero el syllabus lo lista como recurso oficial del RA3. El informe previo pidió que, de ser intencional su uso en la Fase 1, se documentara de forma explícita, como se hace con otras reutilizaciones de lecturas entre fases.</w:t>
      </w:r>
    </w:p>
    <w:p>
      <w:pPr>
        <w:spacing w:after="120" w:line="276"/>
      </w:pPr>
      <w:r>
        <w:rPr>
          <w:rFonts w:ascii="Verdana" w:cs="Verdana" w:eastAsia="Verdana" w:hAnsi="Verdana"/>
          <w:b w:val="false"/>
          <w:bCs w:val="false"/>
          <w:i w:val="false"/>
          <w:iCs w:val="false"/>
          <w:sz w:val="20"/>
          <w:szCs w:val="20"/>
        </w:rPr>
        <w:t xml:space="preserve">Se añadió, en el apartado “Texts supplied for this phase”, </w:t>
      </w:r>
      <w:r>
        <w:rPr>
          <w:rFonts w:ascii="Verdana" w:cs="Verdana" w:eastAsia="Verdana" w:hAnsi="Verdana"/>
          <w:b w:val="false"/>
          <w:bCs w:val="false"/>
          <w:i w:val="false"/>
          <w:iCs w:val="false"/>
          <w:sz w:val="20"/>
          <w:szCs w:val="20"/>
        </w:rPr>
        <w:t xml:space="preserve">una frase que aclara que Jourdan et al. (2023) es una lectura del RA3 incluida intencionalmente en la Fase 1 como ejemplar actual del género preprint / working paper para clasificar —no como lectura teórica de esta fase—, señalizada del mismo modo en que se señaliza la reutilización en las fases posteriores. El syllabus confirma que Jourdan et al. (2023) es un recurso del RA3, por lo que enmarcarlo como estímulo reutilizado de manera deliberada es exacto.</w:t>
      </w:r>
    </w:p>
    <w:p>
      <w:pPr>
        <w:pStyle w:val="Heading2"/>
        <w:spacing w:after="100" w:before="180"/>
      </w:pPr>
      <w:r>
        <w:rPr>
          <w:rFonts w:ascii="Verdana" w:cs="Verdana" w:eastAsia="Verdana" w:hAnsi="Verdana"/>
          <w:b/>
          <w:bCs/>
          <w:i w:val="false"/>
          <w:iCs w:val="false"/>
          <w:sz w:val="22"/>
          <w:szCs w:val="22"/>
        </w:rPr>
        <w:t xml:space="preserve">6.3 Guías no modificadas</w:t>
      </w:r>
    </w:p>
    <w:p>
      <w:pPr>
        <w:spacing w:after="120" w:line="276"/>
      </w:pPr>
      <w:r>
        <w:rPr>
          <w:rFonts w:ascii="Verdana" w:cs="Verdana" w:eastAsia="Verdana" w:hAnsi="Verdana"/>
          <w:b w:val="false"/>
          <w:bCs w:val="false"/>
          <w:i w:val="false"/>
          <w:iCs w:val="false"/>
          <w:sz w:val="20"/>
          <w:szCs w:val="20"/>
        </w:rPr>
        <w:t xml:space="preserve">Guía 3, Guía 4 y Guía 5: no se identificó un defecto de forma; cualquier cambio en las Fases 3 o 4 correspondería a la decisión estructural del apartado 4 (no aplicada). Guía 4: el momento evaluativo “Intermediate” es correcto (ver apartado 2).</w:t>
      </w:r>
    </w:p>
    <w:p>
      <w:pPr>
        <w:pStyle w:val="Heading1"/>
        <w:spacing w:after="120" w:before="240"/>
      </w:pPr>
      <w:r>
        <w:rPr>
          <w:rFonts w:ascii="Verdana" w:cs="Verdana" w:eastAsia="Verdana" w:hAnsi="Verdana"/>
          <w:b/>
          <w:bCs/>
          <w:i w:val="false"/>
          <w:iCs w:val="false"/>
          <w:sz w:val="24"/>
          <w:szCs w:val="24"/>
        </w:rPr>
        <w:t xml:space="preserve">7. Síntesis de hallazgos priorizados (actualizada)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760"/>
        <w:gridCol w:w="190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line="240"/>
            </w:pPr>
            <w:r>
              <w:rPr>
                <w:rFonts w:ascii="Verdana" w:cs="Verdana" w:eastAsia="Verdana" w:hAnsi="Verdana"/>
                <w:b/>
                <w:bCs/>
                <w:i w:val="false"/>
                <w:iCs w:val="false"/>
                <w:sz w:val="18"/>
                <w:szCs w:val="18"/>
              </w:rPr>
              <w:t xml:space="preserve">Prioridad</w:t>
            </w:r>
          </w:p>
        </w:tc>
        <w:tc>
          <w:tcPr>
            <w:tcW w:type="dxa" w:w="57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line="240"/>
            </w:pPr>
            <w:r>
              <w:rPr>
                <w:rFonts w:ascii="Verdana" w:cs="Verdana" w:eastAsia="Verdana" w:hAnsi="Verdana"/>
                <w:b/>
                <w:bCs/>
                <w:i w:val="false"/>
                <w:iCs w:val="false"/>
                <w:sz w:val="18"/>
                <w:szCs w:val="18"/>
              </w:rPr>
              <w:t xml:space="preserve">Hallazgo y acción</w:t>
            </w:r>
          </w:p>
        </w:tc>
        <w:tc>
          <w:tcPr>
            <w:tcW w:type="dxa" w:w="1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line="240"/>
            </w:pPr>
            <w:r>
              <w:rPr>
                <w:rFonts w:ascii="Verdana" w:cs="Verdana" w:eastAsia="Verdana" w:hAnsi="Verdana"/>
                <w:b/>
                <w:bCs/>
                <w:i w:val="false"/>
                <w:iCs w:val="false"/>
                <w:sz w:val="18"/>
                <w:szCs w:val="18"/>
              </w:rPr>
              <w:t xml:space="preserve">Estado</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Importante (coordinación)</w:t>
            </w:r>
          </w:p>
        </w:tc>
        <w:tc>
          <w:tcPr>
            <w:tcW w:type="dxa" w:w="5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Las Fases 3 y 4 difieren entre guías/OVA y syllabus en nombres, VLO, etiqueta de RA de la Fase 4 y ubicación del bloque de verificación.</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Documentado; por decisión se conservan las guías y sus nombres. No aplicado.</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Importante</w:t>
            </w:r>
          </w:p>
        </w:tc>
        <w:tc>
          <w:tcPr>
            <w:tcW w:type="dxa" w:w="5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Reescribir el resultado de aprendizaje de la Guía 2 (duplicaba el de la Guía 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Aplicado (6.1).</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Importante</w:t>
            </w:r>
          </w:p>
        </w:tc>
        <w:tc>
          <w:tcPr>
            <w:tcW w:type="dxa" w:w="5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Documentar la reutilización intencional de Jourdan et al. (2023) en la Fase 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Aplicado (6.2).</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Era crítica</w:t>
            </w:r>
          </w:p>
        </w:tc>
        <w:tc>
          <w:tcPr>
            <w:tcW w:type="dxa" w:w="5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Estructura de 5 vs. 4 fases / 500 vs. 375 puntos.</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Resuelto: 5 guías, 500 pts, porcentajes coinciden (apartado 2).</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Era crítica</w:t>
            </w:r>
          </w:p>
        </w:tc>
        <w:tc>
          <w:tcPr>
            <w:tcW w:type="dxa" w:w="5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Momento evaluativo de la Guía 4.</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40"/>
            </w:pPr>
            <w:r>
              <w:rPr>
                <w:rFonts w:ascii="Verdana" w:cs="Verdana" w:eastAsia="Verdana" w:hAnsi="Verdana"/>
                <w:b w:val="false"/>
                <w:bCs w:val="false"/>
                <w:i w:val="false"/>
                <w:iCs w:val="false"/>
                <w:sz w:val="18"/>
                <w:szCs w:val="18"/>
              </w:rPr>
              <w:t xml:space="preserve">Resuelto: “Intermediate” es correcto según el syllabus v2 (apartado 2).</w:t>
            </w:r>
          </w:p>
        </w:tc>
      </w:tr>
    </w:tbl>
    <w:p>
      <w:pPr>
        <w:pStyle w:val="Heading1"/>
        <w:spacing w:after="120" w:before="240"/>
      </w:pPr>
      <w:r>
        <w:rPr>
          <w:rFonts w:ascii="Verdana" w:cs="Verdana" w:eastAsia="Verdana" w:hAnsi="Verdana"/>
          <w:b/>
          <w:bCs/>
          <w:i w:val="false"/>
          <w:iCs w:val="false"/>
          <w:sz w:val="24"/>
          <w:szCs w:val="24"/>
        </w:rPr>
        <w:t xml:space="preserve">8. Conclusión</w:t>
      </w:r>
    </w:p>
    <w:p>
      <w:pPr>
        <w:spacing w:after="120" w:line="276"/>
      </w:pPr>
      <w:r>
        <w:rPr>
          <w:rFonts w:ascii="Verdana" w:cs="Verdana" w:eastAsia="Verdana" w:hAnsi="Verdana"/>
          <w:b w:val="false"/>
          <w:bCs w:val="false"/>
          <w:i w:val="false"/>
          <w:iCs w:val="false"/>
          <w:sz w:val="20"/>
          <w:szCs w:val="20"/>
        </w:rPr>
        <w:t xml:space="preserve">Leídos en conjunto el syllabus y las cinco guías, el curso es una secuencia coherente de 5 fases y 500 puntos cuyos puntajes, porcentajes, momentos evaluativos, fechas, cobertura de resultados de aprendizaje y —en las Fases 1, 2 y 5— nombres de fase y de VLO coinciden con el syllabus. Los dos hallazgos críticos del informe previo quedan superados. Se aplicaron dos correcciones de forma a las Guías 1 y 2. La diferencia en el reparto de las Fases 3 y 4 (nombres, VLO y ubicación del bloque de verificación / divulgación de herramientas) se mantiene tal como fue entregada —contenido y nombres sin cambios, por decisión— y se deja registrada para que la coordinación académica resuelva si alinea las guías al syllabus o ajusta el syllabus a las guías.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2026-10-19T14:01:59.101Z</dcterms:created>
  <dcterms:modified xsi:type="dcterms:W3CDTF">2026-10-19T14:01:59.110Z</dcterms:modified>
</cp:coreProperties>
</file>

<file path=docProps/custom.xml><?xml version="1.0" encoding="utf-8"?>
<Properties xmlns="http://schemas.openxmlformats.org/officeDocument/2006/custom-properties" xmlns:vt="http://schemas.openxmlformats.org/officeDocument/2006/docPropsVTypes"/>
</file>