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8B0000"/>
          <w:sz w:val="40"/>
          <w:szCs w:val="40"/>
        </w:rPr>
        <w:t xml:space="preserve">Warrior Prep</w:t>
      </w:r>
    </w:p>
    <w:p>
      <w:pPr>
        <w:spacing w:after="40"/>
        <w:jc w:val="center"/>
      </w:pPr>
      <w:r>
        <w:rPr>
          <w:rFonts w:ascii="Calibri" w:cs="Calibri" w:eastAsia="Calibri" w:hAnsi="Calibri"/>
          <w:color w:val="555555"/>
          <w:sz w:val="22"/>
          <w:szCs w:val="22"/>
        </w:rPr>
        <w:t xml:space="preserve">Friendly Hills Middle School  ·  ISD 197  ·  Grade 8</w:t>
      </w:r>
    </w:p>
    <w:p>
      <w:pPr>
        <w:spacing w:after="280"/>
        <w:jc w:val="center"/>
      </w:pPr>
      <w:r>
        <w:rPr>
          <w:rFonts w:ascii="Calibri" w:cs="Calibri" w:eastAsia="Calibri" w:hAnsi="Calibri"/>
          <w:color w:val="555555"/>
          <w:sz w:val="22"/>
          <w:szCs w:val="22"/>
        </w:rPr>
        <w:t xml:space="preserve">2024–2025</w:t>
      </w:r>
    </w:p>
    <w:p>
      <w:pPr>
        <w:pBdr>
          <w:bottom w:val="single" w:color="8B0000" w:sz="6" w:space="4"/>
        </w:pBdr>
        <w:spacing w:after="80" w:before="240"/>
      </w:pPr>
      <w:r>
        <w:rPr>
          <w:rFonts w:ascii="Calibri" w:cs="Calibri" w:eastAsia="Calibri" w:hAnsi="Calibri"/>
          <w:b/>
          <w:bCs/>
          <w:color w:val="8B0000"/>
          <w:sz w:val="28"/>
          <w:szCs w:val="28"/>
        </w:rPr>
        <w:t xml:space="preserve">About the Course</w:t>
      </w:r>
    </w:p>
    <w:p>
      <w:pPr>
        <w:spacing w:after="120" w:before="0"/>
      </w:pPr>
      <w:r>
        <w:rPr>
          <w:rFonts w:ascii="Calibri" w:cs="Calibri" w:eastAsia="Calibri" w:hAnsi="Calibri"/>
          <w:b w:val="false"/>
          <w:bCs w:val="false"/>
          <w:color w:val="1A1A1A"/>
          <w:sz w:val="22"/>
          <w:szCs w:val="22"/>
        </w:rPr>
        <w:t xml:space="preserve">Warrior Prep is a full-year course designed to get you ready for the challenges you will face in high school and beyond. You will build the executive functioning skills — working memory, planning, focus, and self-control — that sit behind every good decision. You will explore Minnesota's career pathways and connect your interests to real options before you choose your 9th grade electives. You will sharpen the academic skills that matter most in high school: active reading, the writing process, study science, and self-advocacy. And you will build a concrete plan for 9th grade — schedule, extracurriculars, sleep, and what to do if you hit the 9th grade cliff. This class is practical. Everything you learn here you can use tomorrow.</w:t>
      </w:r>
    </w:p>
    <w:p>
      <w:pPr>
        <w:spacing w:after="80" w:before="120"/>
      </w:pPr>
      <w:r>
        <w:rPr>
          <w:rFonts w:ascii="Calibri" w:cs="Calibri" w:eastAsia="Calibri" w:hAnsi="Calibri"/>
          <w:b/>
          <w:bCs/>
          <w:color w:val="1A1A1A"/>
          <w:sz w:val="22"/>
          <w:szCs w:val="22"/>
        </w:rPr>
        <w:t xml:space="preserve">Units and Readings:</w:t>
      </w:r>
    </w:p>
    <w:p>
      <w:pPr>
        <w:spacing w:after="40" w:before="80"/>
      </w:pPr>
      <w:r>
        <w:rPr>
          <w:rFonts w:ascii="Calibri" w:cs="Calibri" w:eastAsia="Calibri" w:hAnsi="Calibri"/>
          <w:b/>
          <w:bCs/>
          <w:color w:val="8B0000"/>
          <w:sz w:val="22"/>
          <w:szCs w:val="22"/>
        </w:rPr>
        <w:t xml:space="preserve">Unit 1 (Fall): Executive Functioning</w:t>
      </w:r>
    </w:p>
    <w:p>
      <w:pPr>
        <w:pStyle w:val="ListParagraph"/>
        <w:numPr>
          <w:ilvl w:val="0"/>
          <w:numId w:val="2"/>
        </w:numPr>
        <w:spacing w:after="60"/>
      </w:pPr>
      <w:r>
        <w:rPr>
          <w:rFonts w:ascii="Calibri" w:cs="Calibri" w:eastAsia="Calibri" w:hAnsi="Calibri"/>
          <w:b w:val="false"/>
          <w:bCs w:val="false"/>
          <w:color w:val="1A1A1A"/>
          <w:sz w:val="22"/>
          <w:szCs w:val="22"/>
        </w:rPr>
        <w:t xml:space="preserve">1.1 — What Is Executive Function?  |  Reading: The CEO of Your Brain</w:t>
      </w:r>
    </w:p>
    <w:p>
      <w:pPr>
        <w:pStyle w:val="ListParagraph"/>
        <w:numPr>
          <w:ilvl w:val="0"/>
          <w:numId w:val="2"/>
        </w:numPr>
        <w:spacing w:after="60"/>
      </w:pPr>
      <w:r>
        <w:rPr>
          <w:rFonts w:ascii="Calibri" w:cs="Calibri" w:eastAsia="Calibri" w:hAnsi="Calibri"/>
          <w:b w:val="false"/>
          <w:bCs w:val="false"/>
          <w:color w:val="1A1A1A"/>
          <w:sz w:val="22"/>
          <w:szCs w:val="22"/>
        </w:rPr>
        <w:t xml:space="preserve">1.2 — Prioritization &amp; Planning  |  Reading: The Art of Getting Things Done</w:t>
      </w:r>
    </w:p>
    <w:p>
      <w:pPr>
        <w:pStyle w:val="ListParagraph"/>
        <w:numPr>
          <w:ilvl w:val="0"/>
          <w:numId w:val="2"/>
        </w:numPr>
        <w:spacing w:after="60"/>
      </w:pPr>
      <w:r>
        <w:rPr>
          <w:rFonts w:ascii="Calibri" w:cs="Calibri" w:eastAsia="Calibri" w:hAnsi="Calibri"/>
          <w:b w:val="false"/>
          <w:bCs w:val="false"/>
          <w:color w:val="1A1A1A"/>
          <w:sz w:val="22"/>
          <w:szCs w:val="22"/>
        </w:rPr>
        <w:t xml:space="preserve">1.3 — Focus &amp; Managing Distraction  |  Reading: Your Brain Is Not a Multitasker</w:t>
      </w:r>
    </w:p>
    <w:p>
      <w:pPr>
        <w:pStyle w:val="ListParagraph"/>
        <w:numPr>
          <w:ilvl w:val="0"/>
          <w:numId w:val="2"/>
        </w:numPr>
        <w:spacing w:after="60"/>
      </w:pPr>
      <w:r>
        <w:rPr>
          <w:rFonts w:ascii="Calibri" w:cs="Calibri" w:eastAsia="Calibri" w:hAnsi="Calibri"/>
          <w:b w:val="false"/>
          <w:bCs w:val="false"/>
          <w:color w:val="1A1A1A"/>
          <w:sz w:val="22"/>
          <w:szCs w:val="22"/>
        </w:rPr>
        <w:t xml:space="preserve">1.4 — Grit &amp; Self-Control  |  Reading: The Science of Willpower</w:t>
      </w:r>
    </w:p>
    <w:p>
      <w:pPr>
        <w:spacing w:after="40" w:before="80"/>
      </w:pPr>
      <w:r>
        <w:rPr>
          <w:rFonts w:ascii="Calibri" w:cs="Calibri" w:eastAsia="Calibri" w:hAnsi="Calibri"/>
          <w:b/>
          <w:bCs/>
          <w:color w:val="8B0000"/>
          <w:sz w:val="22"/>
          <w:szCs w:val="22"/>
        </w:rPr>
        <w:t xml:space="preserve">Unit 2 (Fall): Career Pathways</w:t>
      </w:r>
    </w:p>
    <w:p>
      <w:pPr>
        <w:pStyle w:val="ListParagraph"/>
        <w:numPr>
          <w:ilvl w:val="0"/>
          <w:numId w:val="2"/>
        </w:numPr>
        <w:spacing w:after="60"/>
      </w:pPr>
      <w:r>
        <w:rPr>
          <w:rFonts w:ascii="Calibri" w:cs="Calibri" w:eastAsia="Calibri" w:hAnsi="Calibri"/>
          <w:b w:val="false"/>
          <w:bCs w:val="false"/>
          <w:color w:val="1A1A1A"/>
          <w:sz w:val="22"/>
          <w:szCs w:val="22"/>
        </w:rPr>
        <w:t xml:space="preserve">2.1 — Minnesota Career Clusters  |  Reading: Finding Your Path: Minnesota's Career Fields</w:t>
      </w:r>
    </w:p>
    <w:p>
      <w:pPr>
        <w:pStyle w:val="ListParagraph"/>
        <w:numPr>
          <w:ilvl w:val="0"/>
          <w:numId w:val="2"/>
        </w:numPr>
        <w:spacing w:after="60"/>
      </w:pPr>
      <w:r>
        <w:rPr>
          <w:rFonts w:ascii="Calibri" w:cs="Calibri" w:eastAsia="Calibri" w:hAnsi="Calibri"/>
          <w:b w:val="false"/>
          <w:bCs w:val="false"/>
          <w:color w:val="1A1A1A"/>
          <w:sz w:val="22"/>
          <w:szCs w:val="22"/>
        </w:rPr>
        <w:t xml:space="preserve">2.2 — Skilled Trades &amp; Healthcare  |  Reading: Building and Healing: STEM and Health Pathways at Two Rivers</w:t>
      </w:r>
    </w:p>
    <w:p>
      <w:pPr>
        <w:pStyle w:val="ListParagraph"/>
        <w:numPr>
          <w:ilvl w:val="0"/>
          <w:numId w:val="2"/>
        </w:numPr>
        <w:spacing w:after="60"/>
      </w:pPr>
      <w:r>
        <w:rPr>
          <w:rFonts w:ascii="Calibri" w:cs="Calibri" w:eastAsia="Calibri" w:hAnsi="Calibri"/>
          <w:b w:val="false"/>
          <w:bCs w:val="false"/>
          <w:color w:val="1A1A1A"/>
          <w:sz w:val="22"/>
          <w:szCs w:val="22"/>
        </w:rPr>
        <w:t xml:space="preserve">2.3 — Tech, Arts &amp; Business  |  Reading: Create, Connect, Lead: Arts, Business, and Human Services at Two Rivers</w:t>
      </w:r>
    </w:p>
    <w:p>
      <w:pPr>
        <w:pStyle w:val="ListParagraph"/>
        <w:numPr>
          <w:ilvl w:val="0"/>
          <w:numId w:val="2"/>
        </w:numPr>
        <w:spacing w:after="60"/>
      </w:pPr>
      <w:r>
        <w:rPr>
          <w:rFonts w:ascii="Calibri" w:cs="Calibri" w:eastAsia="Calibri" w:hAnsi="Calibri"/>
          <w:b w:val="false"/>
          <w:bCs w:val="false"/>
          <w:color w:val="1A1A1A"/>
          <w:sz w:val="22"/>
          <w:szCs w:val="22"/>
        </w:rPr>
        <w:t xml:space="preserve">2.4 — Agriculture &amp; Natural Resources  |  Reading: From the Ground Up: Agriculture, Food, and Natural Resources</w:t>
      </w:r>
    </w:p>
    <w:p>
      <w:pPr>
        <w:spacing w:after="40" w:before="80"/>
      </w:pPr>
      <w:r>
        <w:rPr>
          <w:rFonts w:ascii="Calibri" w:cs="Calibri" w:eastAsia="Calibri" w:hAnsi="Calibri"/>
          <w:b/>
          <w:bCs/>
          <w:color w:val="8B0000"/>
          <w:sz w:val="22"/>
          <w:szCs w:val="22"/>
        </w:rPr>
        <w:t xml:space="preserve">Unit 3 (Fall/Spring): Academic Preparation</w:t>
      </w:r>
    </w:p>
    <w:p>
      <w:pPr>
        <w:pStyle w:val="ListParagraph"/>
        <w:numPr>
          <w:ilvl w:val="0"/>
          <w:numId w:val="2"/>
        </w:numPr>
        <w:spacing w:after="60"/>
      </w:pPr>
      <w:r>
        <w:rPr>
          <w:rFonts w:ascii="Calibri" w:cs="Calibri" w:eastAsia="Calibri" w:hAnsi="Calibri"/>
          <w:b w:val="false"/>
          <w:bCs w:val="false"/>
          <w:color w:val="1A1A1A"/>
          <w:sz w:val="22"/>
          <w:szCs w:val="22"/>
        </w:rPr>
        <w:t xml:space="preserve">3.1 — Active Reading Strategies  |  Reading: Your Brain Changes When You Read — But Only If You Do It Right</w:t>
      </w:r>
    </w:p>
    <w:p>
      <w:pPr>
        <w:pStyle w:val="ListParagraph"/>
        <w:numPr>
          <w:ilvl w:val="0"/>
          <w:numId w:val="2"/>
        </w:numPr>
        <w:spacing w:after="60"/>
      </w:pPr>
      <w:r>
        <w:rPr>
          <w:rFonts w:ascii="Calibri" w:cs="Calibri" w:eastAsia="Calibri" w:hAnsi="Calibri"/>
          <w:b w:val="false"/>
          <w:bCs w:val="false"/>
          <w:color w:val="1A1A1A"/>
          <w:sz w:val="22"/>
          <w:szCs w:val="22"/>
        </w:rPr>
        <w:t xml:space="preserve">3.2 — The Writing Process  |  Reading: The Write Stuff: Building Stamina and Clarity in Your Writing</w:t>
      </w:r>
    </w:p>
    <w:p>
      <w:pPr>
        <w:pStyle w:val="ListParagraph"/>
        <w:numPr>
          <w:ilvl w:val="0"/>
          <w:numId w:val="2"/>
        </w:numPr>
        <w:spacing w:after="60"/>
      </w:pPr>
      <w:r>
        <w:rPr>
          <w:rFonts w:ascii="Calibri" w:cs="Calibri" w:eastAsia="Calibri" w:hAnsi="Calibri"/>
          <w:b w:val="false"/>
          <w:bCs w:val="false"/>
          <w:color w:val="1A1A1A"/>
          <w:sz w:val="22"/>
          <w:szCs w:val="22"/>
        </w:rPr>
        <w:t xml:space="preserve">3.3 — Study Science  |  Reading: Study Smarter, Not Harder: The Science of How We Actually Learn</w:t>
      </w:r>
    </w:p>
    <w:p>
      <w:pPr>
        <w:pStyle w:val="ListParagraph"/>
        <w:numPr>
          <w:ilvl w:val="0"/>
          <w:numId w:val="2"/>
        </w:numPr>
        <w:spacing w:after="60"/>
      </w:pPr>
      <w:r>
        <w:rPr>
          <w:rFonts w:ascii="Calibri" w:cs="Calibri" w:eastAsia="Calibri" w:hAnsi="Calibri"/>
          <w:b w:val="false"/>
          <w:bCs w:val="false"/>
          <w:color w:val="1A1A1A"/>
          <w:sz w:val="22"/>
          <w:szCs w:val="22"/>
        </w:rPr>
        <w:t xml:space="preserve">3.4 — Self-Advocacy &amp; Backward Planning  |  Reading: Doing Hard Things: Self-Advocacy and Long-Term Projects</w:t>
      </w:r>
    </w:p>
    <w:p>
      <w:pPr>
        <w:spacing w:after="40" w:before="80"/>
      </w:pPr>
      <w:r>
        <w:rPr>
          <w:rFonts w:ascii="Calibri" w:cs="Calibri" w:eastAsia="Calibri" w:hAnsi="Calibri"/>
          <w:b/>
          <w:bCs/>
          <w:color w:val="8B0000"/>
          <w:sz w:val="22"/>
          <w:szCs w:val="22"/>
        </w:rPr>
        <w:t xml:space="preserve">Unit 4 (Spring): 9th Grade Year Plan</w:t>
      </w:r>
    </w:p>
    <w:p>
      <w:pPr>
        <w:pStyle w:val="ListParagraph"/>
        <w:numPr>
          <w:ilvl w:val="0"/>
          <w:numId w:val="2"/>
        </w:numPr>
        <w:spacing w:after="60"/>
      </w:pPr>
      <w:r>
        <w:rPr>
          <w:rFonts w:ascii="Calibri" w:cs="Calibri" w:eastAsia="Calibri" w:hAnsi="Calibri"/>
          <w:b w:val="false"/>
          <w:bCs w:val="false"/>
          <w:color w:val="1A1A1A"/>
          <w:sz w:val="22"/>
          <w:szCs w:val="22"/>
        </w:rPr>
        <w:t xml:space="preserve">4.1 — High School 101  |  Reading: Reading the Map: Understanding Graduation Requirements</w:t>
      </w:r>
    </w:p>
    <w:p>
      <w:pPr>
        <w:pStyle w:val="ListParagraph"/>
        <w:numPr>
          <w:ilvl w:val="0"/>
          <w:numId w:val="2"/>
        </w:numPr>
        <w:spacing w:after="60"/>
      </w:pPr>
      <w:r>
        <w:rPr>
          <w:rFonts w:ascii="Calibri" w:cs="Calibri" w:eastAsia="Calibri" w:hAnsi="Calibri"/>
          <w:b w:val="false"/>
          <w:bCs w:val="false"/>
          <w:color w:val="1A1A1A"/>
          <w:sz w:val="22"/>
          <w:szCs w:val="22"/>
        </w:rPr>
        <w:t xml:space="preserve">4.2 — Building Your Schedule  |  Reading: Your Schedule, Your Foundation: Building a 9th Grade Course Plan</w:t>
      </w:r>
    </w:p>
    <w:p>
      <w:pPr>
        <w:pStyle w:val="ListParagraph"/>
        <w:numPr>
          <w:ilvl w:val="0"/>
          <w:numId w:val="2"/>
        </w:numPr>
        <w:spacing w:after="60"/>
      </w:pPr>
      <w:r>
        <w:rPr>
          <w:rFonts w:ascii="Calibri" w:cs="Calibri" w:eastAsia="Calibri" w:hAnsi="Calibri"/>
          <w:b w:val="false"/>
          <w:bCs w:val="false"/>
          <w:color w:val="1A1A1A"/>
          <w:sz w:val="22"/>
          <w:szCs w:val="22"/>
        </w:rPr>
        <w:t xml:space="preserve">4.3 — Extracurriculars &amp; Identity  |  Reading: More Than a Club: The Case for Getting Involved</w:t>
      </w:r>
    </w:p>
    <w:p>
      <w:pPr>
        <w:pStyle w:val="ListParagraph"/>
        <w:numPr>
          <w:ilvl w:val="0"/>
          <w:numId w:val="2"/>
        </w:numPr>
        <w:spacing w:after="60"/>
      </w:pPr>
      <w:r>
        <w:rPr>
          <w:rFonts w:ascii="Calibri" w:cs="Calibri" w:eastAsia="Calibri" w:hAnsi="Calibri"/>
          <w:b w:val="false"/>
          <w:bCs w:val="false"/>
          <w:color w:val="1A1A1A"/>
          <w:sz w:val="22"/>
          <w:szCs w:val="22"/>
        </w:rPr>
        <w:t xml:space="preserve">4.4 — Sleep as Performance  |  Reading: The Math of Your Day: Time, Sleep, and the Reality of 9th Grade</w:t>
      </w:r>
    </w:p>
    <w:p>
      <w:pPr>
        <w:spacing w:after="40" w:before="80"/>
      </w:pPr>
      <w:r>
        <w:rPr>
          <w:rFonts w:ascii="Calibri" w:cs="Calibri" w:eastAsia="Calibri" w:hAnsi="Calibri"/>
          <w:b/>
          <w:bCs/>
          <w:color w:val="8B0000"/>
          <w:sz w:val="22"/>
          <w:szCs w:val="22"/>
        </w:rPr>
        <w:t xml:space="preserve">Unit 5 (Spring): Transition to High School</w:t>
      </w:r>
    </w:p>
    <w:p>
      <w:pPr>
        <w:pStyle w:val="ListParagraph"/>
        <w:numPr>
          <w:ilvl w:val="0"/>
          <w:numId w:val="2"/>
        </w:numPr>
        <w:spacing w:after="60"/>
      </w:pPr>
      <w:r>
        <w:rPr>
          <w:rFonts w:ascii="Calibri" w:cs="Calibri" w:eastAsia="Calibri" w:hAnsi="Calibri"/>
          <w:b w:val="false"/>
          <w:bCs w:val="false"/>
          <w:color w:val="1A1A1A"/>
          <w:sz w:val="22"/>
          <w:szCs w:val="22"/>
        </w:rPr>
        <w:t xml:space="preserve">5.1 — Transcripts &amp; GPA Deep Dive  |  Reading: Your Grade, Your GPA, Your Transcript</w:t>
      </w:r>
    </w:p>
    <w:p>
      <w:pPr>
        <w:pStyle w:val="ListParagraph"/>
        <w:numPr>
          <w:ilvl w:val="0"/>
          <w:numId w:val="2"/>
        </w:numPr>
        <w:spacing w:after="60"/>
      </w:pPr>
      <w:r>
        <w:rPr>
          <w:rFonts w:ascii="Calibri" w:cs="Calibri" w:eastAsia="Calibri" w:hAnsi="Calibri"/>
          <w:b w:val="false"/>
          <w:bCs w:val="false"/>
          <w:color w:val="1A1A1A"/>
          <w:sz w:val="22"/>
          <w:szCs w:val="22"/>
        </w:rPr>
        <w:t xml:space="preserve">5.2 — The 9th Grade Cliff  |  Reading: 9th Grade Is Different: BARR, Belonging, and the Warrior Way</w:t>
      </w:r>
    </w:p>
    <w:p>
      <w:pPr>
        <w:pStyle w:val="ListParagraph"/>
        <w:numPr>
          <w:ilvl w:val="0"/>
          <w:numId w:val="2"/>
        </w:numPr>
        <w:spacing w:after="60"/>
      </w:pPr>
      <w:r>
        <w:rPr>
          <w:rFonts w:ascii="Calibri" w:cs="Calibri" w:eastAsia="Calibri" w:hAnsi="Calibri"/>
          <w:b w:val="false"/>
          <w:bCs w:val="false"/>
          <w:color w:val="1A1A1A"/>
          <w:sz w:val="22"/>
          <w:szCs w:val="22"/>
        </w:rPr>
        <w:t xml:space="preserve">5.3 — Smart Course Selection  |  Reading: Choosing Well: Course Selection and the Art of Planning Ahead</w:t>
      </w:r>
    </w:p>
    <w:p>
      <w:pPr>
        <w:pStyle w:val="ListParagraph"/>
        <w:numPr>
          <w:ilvl w:val="0"/>
          <w:numId w:val="2"/>
        </w:numPr>
        <w:spacing w:after="60"/>
      </w:pPr>
      <w:r>
        <w:rPr>
          <w:rFonts w:ascii="Calibri" w:cs="Calibri" w:eastAsia="Calibri" w:hAnsi="Calibri"/>
          <w:b w:val="false"/>
          <w:bCs w:val="false"/>
          <w:color w:val="1A1A1A"/>
          <w:sz w:val="22"/>
          <w:szCs w:val="22"/>
        </w:rPr>
        <w:t xml:space="preserve">5.4 — Curiosity &amp; Active Listening  |  Reading: The Art of Asking Good Questions</w:t>
      </w:r>
    </w:p>
    <w:p>
      <w:pPr>
        <w:spacing w:after="60" w:before="180"/>
      </w:pPr>
      <w:r>
        <w:rPr>
          <w:rFonts w:ascii="Calibri" w:cs="Calibri" w:eastAsia="Calibri" w:hAnsi="Calibri"/>
          <w:b/>
          <w:bCs/>
          <w:color w:val="1A1A1A"/>
          <w:sz w:val="22"/>
          <w:szCs w:val="22"/>
        </w:rPr>
        <w:t xml:space="preserve">Grades:</w:t>
      </w:r>
    </w:p>
    <w:p>
      <w:pPr>
        <w:spacing w:after="120" w:before="0"/>
      </w:pPr>
      <w:r>
        <w:rPr>
          <w:rFonts w:ascii="Calibri" w:cs="Calibri" w:eastAsia="Calibri" w:hAnsi="Calibri"/>
          <w:b w:val="false"/>
          <w:bCs w:val="false"/>
          <w:color w:val="1A1A1A"/>
          <w:sz w:val="22"/>
          <w:szCs w:val="22"/>
        </w:rPr>
        <w:t xml:space="preserve">In ISD 197, grades reflect what you have learned. Formative work — daily assignments, Monday Check-Ins, and Friday Planning — gives you practice and feedback throughout a unit. Summative work — exit tickets and unit discussions — measures your learning at the end of a lesson. Your grade reflects both, with exit tickets worth 5 points each and weekly routine assignments worth 10 points each.</w:t>
      </w:r>
    </w:p>
    <w:p>
      <w:pPr>
        <w:spacing w:after="60" w:before="80"/>
      </w:pPr>
      <w:r>
        <w:rPr>
          <w:rFonts w:ascii="Calibri" w:cs="Calibri" w:eastAsia="Calibri" w:hAnsi="Calibri"/>
          <w:b w:val="false"/>
          <w:bCs w:val="false"/>
          <w:color w:val="1A1A1A"/>
          <w:sz w:val="22"/>
          <w:szCs w:val="22"/>
        </w:rPr>
        <w:t xml:space="preserve">Grade breakdown:</w:t>
      </w:r>
    </w:p>
    <w:p>
      <w:pPr>
        <w:pStyle w:val="ListParagraph"/>
        <w:numPr>
          <w:ilvl w:val="0"/>
          <w:numId w:val="2"/>
        </w:numPr>
        <w:spacing w:after="60"/>
      </w:pPr>
      <w:r>
        <w:rPr>
          <w:rFonts w:ascii="Calibri" w:cs="Calibri" w:eastAsia="Calibri" w:hAnsi="Calibri"/>
          <w:b w:val="false"/>
          <w:bCs w:val="false"/>
          <w:color w:val="1A1A1A"/>
          <w:sz w:val="22"/>
          <w:szCs w:val="22"/>
        </w:rPr>
        <w:t xml:space="preserve">Exit Tickets (20 × 5 pts) — one written response per lesson, submitted in Canvas</w:t>
      </w:r>
    </w:p>
    <w:p>
      <w:pPr>
        <w:pStyle w:val="ListParagraph"/>
        <w:numPr>
          <w:ilvl w:val="0"/>
          <w:numId w:val="2"/>
        </w:numPr>
        <w:spacing w:after="60"/>
      </w:pPr>
      <w:r>
        <w:rPr>
          <w:rFonts w:ascii="Calibri" w:cs="Calibri" w:eastAsia="Calibri" w:hAnsi="Calibri"/>
          <w:b w:val="false"/>
          <w:bCs w:val="false"/>
          <w:color w:val="1A1A1A"/>
          <w:sz w:val="22"/>
          <w:szCs w:val="22"/>
        </w:rPr>
        <w:t xml:space="preserve">Discussions (20 total) — post a response to at least two questions; reply to one classmate</w:t>
      </w:r>
    </w:p>
    <w:p>
      <w:pPr>
        <w:pStyle w:val="ListParagraph"/>
        <w:numPr>
          <w:ilvl w:val="0"/>
          <w:numId w:val="2"/>
        </w:numPr>
        <w:spacing w:after="60"/>
      </w:pPr>
      <w:r>
        <w:rPr>
          <w:rFonts w:ascii="Calibri" w:cs="Calibri" w:eastAsia="Calibri" w:hAnsi="Calibri"/>
          <w:b w:val="false"/>
          <w:bCs w:val="false"/>
          <w:color w:val="1A1A1A"/>
          <w:sz w:val="22"/>
          <w:szCs w:val="22"/>
        </w:rPr>
        <w:t xml:space="preserve">Monday Check-In (18 × 10 pts) — missing work, test review, notes check, weekly goal</w:t>
      </w:r>
    </w:p>
    <w:p>
      <w:pPr>
        <w:pStyle w:val="ListParagraph"/>
        <w:numPr>
          <w:ilvl w:val="0"/>
          <w:numId w:val="2"/>
        </w:numPr>
        <w:spacing w:after="60"/>
      </w:pPr>
      <w:r>
        <w:rPr>
          <w:rFonts w:ascii="Calibri" w:cs="Calibri" w:eastAsia="Calibri" w:hAnsi="Calibri"/>
          <w:b w:val="false"/>
          <w:bCs w:val="false"/>
          <w:color w:val="1A1A1A"/>
          <w:sz w:val="22"/>
          <w:szCs w:val="22"/>
        </w:rPr>
        <w:t xml:space="preserve">Friday Planning (18 × 10 pts) — upcoming deadlines, activities, week-at-a-glance, weekend commitment</w:t>
      </w:r>
    </w:p>
    <w:p>
      <w:pPr>
        <w:pBdr>
          <w:bottom w:val="single" w:color="8B0000" w:sz="6" w:space="4"/>
        </w:pBdr>
        <w:spacing w:after="80" w:before="240"/>
      </w:pPr>
      <w:r>
        <w:rPr>
          <w:rFonts w:ascii="Calibri" w:cs="Calibri" w:eastAsia="Calibri" w:hAnsi="Calibri"/>
          <w:b/>
          <w:bCs/>
          <w:color w:val="8B0000"/>
          <w:sz w:val="28"/>
          <w:szCs w:val="28"/>
        </w:rPr>
        <w:t xml:space="preserve">Late Work</w:t>
      </w:r>
    </w:p>
    <w:p>
      <w:pPr>
        <w:spacing w:after="120" w:before="0"/>
      </w:pPr>
      <w:r>
        <w:rPr>
          <w:rFonts w:ascii="Calibri" w:cs="Calibri" w:eastAsia="Calibri" w:hAnsi="Calibri"/>
          <w:b w:val="false"/>
          <w:bCs w:val="false"/>
          <w:color w:val="1A1A1A"/>
          <w:sz w:val="22"/>
          <w:szCs w:val="22"/>
        </w:rPr>
        <w:t xml:space="preserve">Late work is accepted. Life happens, and turning something in late is better than not turning it in at all. That said, late work may receive partial credit depending on how late it is submitted. If you are absent, you have the same number of days you were absent to make up the work — check Canvas for what you missed. If you are struggling with something, ask for help before the deadline, not after.</w:t>
      </w:r>
    </w:p>
    <w:p>
      <w:pPr>
        <w:spacing w:after="120" w:before="0"/>
      </w:pPr>
      <w:r>
        <w:rPr>
          <w:rFonts w:ascii="Calibri" w:cs="Calibri" w:eastAsia="Calibri" w:hAnsi="Calibri"/>
          <w:b w:val="false"/>
          <w:bCs w:val="false"/>
          <w:color w:val="1A1A1A"/>
          <w:sz w:val="22"/>
          <w:szCs w:val="22"/>
        </w:rPr>
        <w:t xml:space="preserve">Monday Check-Ins and Friday Planning assignments are time-sensitive by design — they are most useful when completed on the day they are assigned. Make-ups for routine assignments will be accepted through the end of the week in which they were due.</w:t>
      </w:r>
    </w:p>
    <w:p>
      <w:pPr>
        <w:pBdr>
          <w:bottom w:val="single" w:color="8B0000" w:sz="6" w:space="4"/>
        </w:pBdr>
        <w:spacing w:after="80" w:before="240"/>
      </w:pPr>
      <w:r>
        <w:rPr>
          <w:rFonts w:ascii="Calibri" w:cs="Calibri" w:eastAsia="Calibri" w:hAnsi="Calibri"/>
          <w:b/>
          <w:bCs/>
          <w:color w:val="8B0000"/>
          <w:sz w:val="28"/>
          <w:szCs w:val="28"/>
        </w:rPr>
        <w:t xml:space="preserve">Classroom Expectations</w:t>
      </w:r>
    </w:p>
    <w:p>
      <w:pPr>
        <w:spacing w:after="120" w:before="0"/>
      </w:pPr>
      <w:r>
        <w:rPr>
          <w:rFonts w:ascii="Calibri" w:cs="Calibri" w:eastAsia="Calibri" w:hAnsi="Calibri"/>
          <w:b w:val="false"/>
          <w:bCs w:val="false"/>
          <w:color w:val="1A1A1A"/>
          <w:sz w:val="22"/>
          <w:szCs w:val="22"/>
        </w:rPr>
        <w:t xml:space="preserve">This class works when everyone is present, engaged, and respectful. That means:</w:t>
      </w:r>
    </w:p>
    <w:p>
      <w:pPr>
        <w:pStyle w:val="ListParagraph"/>
        <w:numPr>
          <w:ilvl w:val="0"/>
          <w:numId w:val="2"/>
        </w:numPr>
        <w:spacing w:after="60"/>
      </w:pPr>
      <w:r>
        <w:rPr>
          <w:rFonts w:ascii="Calibri" w:cs="Calibri" w:eastAsia="Calibri" w:hAnsi="Calibri"/>
          <w:b w:val="false"/>
          <w:bCs w:val="false"/>
          <w:color w:val="1A1A1A"/>
          <w:sz w:val="22"/>
          <w:szCs w:val="22"/>
        </w:rPr>
        <w:t xml:space="preserve">Be here and be ready. Bring your Chromebook charged. Arrive on time.</w:t>
      </w:r>
    </w:p>
    <w:p>
      <w:pPr>
        <w:pStyle w:val="ListParagraph"/>
        <w:numPr>
          <w:ilvl w:val="0"/>
          <w:numId w:val="2"/>
        </w:numPr>
        <w:spacing w:after="60"/>
      </w:pPr>
      <w:r>
        <w:rPr>
          <w:rFonts w:ascii="Calibri" w:cs="Calibri" w:eastAsia="Calibri" w:hAnsi="Calibri"/>
          <w:b w:val="false"/>
          <w:bCs w:val="false"/>
          <w:color w:val="1A1A1A"/>
          <w:sz w:val="22"/>
          <w:szCs w:val="22"/>
        </w:rPr>
        <w:t xml:space="preserve">Engage honestly. Exit tickets and discussions are about your real thinking — not what you think I want to hear.</w:t>
      </w:r>
    </w:p>
    <w:p>
      <w:pPr>
        <w:pStyle w:val="ListParagraph"/>
        <w:numPr>
          <w:ilvl w:val="0"/>
          <w:numId w:val="2"/>
        </w:numPr>
        <w:spacing w:after="60"/>
      </w:pPr>
      <w:r>
        <w:rPr>
          <w:rFonts w:ascii="Calibri" w:cs="Calibri" w:eastAsia="Calibri" w:hAnsi="Calibri"/>
          <w:b w:val="false"/>
          <w:bCs w:val="false"/>
          <w:color w:val="1A1A1A"/>
          <w:sz w:val="22"/>
          <w:szCs w:val="22"/>
        </w:rPr>
        <w:t xml:space="preserve">Respect each other. Discussions ask personal questions. What is shared in class stays in class.</w:t>
      </w:r>
    </w:p>
    <w:p>
      <w:pPr>
        <w:pStyle w:val="ListParagraph"/>
        <w:numPr>
          <w:ilvl w:val="0"/>
          <w:numId w:val="2"/>
        </w:numPr>
        <w:spacing w:after="60"/>
      </w:pPr>
      <w:r>
        <w:rPr>
          <w:rFonts w:ascii="Calibri" w:cs="Calibri" w:eastAsia="Calibri" w:hAnsi="Calibri"/>
          <w:b w:val="false"/>
          <w:bCs w:val="false"/>
          <w:color w:val="1A1A1A"/>
          <w:sz w:val="22"/>
          <w:szCs w:val="22"/>
        </w:rPr>
        <w:t xml:space="preserve">Use technology on task. Chromebooks and phones are tools. Use them for the work in front of you.</w:t>
      </w:r>
    </w:p>
    <w:p>
      <w:pPr>
        <w:pStyle w:val="ListParagraph"/>
        <w:numPr>
          <w:ilvl w:val="0"/>
          <w:numId w:val="2"/>
        </w:numPr>
        <w:spacing w:after="60"/>
      </w:pPr>
      <w:r>
        <w:rPr>
          <w:rFonts w:ascii="Calibri" w:cs="Calibri" w:eastAsia="Calibri" w:hAnsi="Calibri"/>
          <w:b w:val="false"/>
          <w:bCs w:val="false"/>
          <w:color w:val="1A1A1A"/>
          <w:sz w:val="22"/>
          <w:szCs w:val="22"/>
        </w:rPr>
        <w:t xml:space="preserve">Ask for help. If you are stuck, confused, or falling behind — say something. That is not weakness; it is exactly the self-advocacy skill this course teaches.</w:t>
      </w:r>
    </w:p>
    <w:p>
      <w:pPr>
        <w:pStyle w:val="ListParagraph"/>
        <w:numPr>
          <w:ilvl w:val="0"/>
          <w:numId w:val="2"/>
        </w:numPr>
        <w:spacing w:after="60"/>
      </w:pPr>
      <w:r>
        <w:rPr>
          <w:rFonts w:ascii="Calibri" w:cs="Calibri" w:eastAsia="Calibri" w:hAnsi="Calibri"/>
          <w:b w:val="false"/>
          <w:bCs w:val="false"/>
          <w:color w:val="1A1A1A"/>
          <w:sz w:val="22"/>
          <w:szCs w:val="22"/>
        </w:rPr>
        <w:t xml:space="preserve">Take care of your materials. Workbooks are yours to keep. Treat them like a resource, not a throwaway.</w:t>
      </w:r>
    </w:p>
    <w:p>
      <w:pPr>
        <w:spacing w:after="80" w:before="120"/>
      </w:pPr>
      <w:r>
        <w:rPr>
          <w:rFonts w:ascii="Calibri" w:cs="Calibri" w:eastAsia="Calibri" w:hAnsi="Calibri"/>
          <w:b/>
          <w:bCs/>
          <w:color w:val="1A1A1A"/>
          <w:sz w:val="22"/>
          <w:szCs w:val="22"/>
        </w:rPr>
        <w:t xml:space="preserve">The bottom line: </w:t>
      </w:r>
      <w:r>
        <w:rPr>
          <w:rFonts w:ascii="Calibri" w:cs="Calibri" w:eastAsia="Calibri" w:hAnsi="Calibri"/>
          <w:color w:val="1A1A1A"/>
          <w:sz w:val="22"/>
          <w:szCs w:val="22"/>
        </w:rPr>
        <w:t xml:space="preserve">Show up, do the work, treat people well. Everything else takes care of itself.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2026-09-08T16:26:08.297Z</dcterms:created>
  <dcterms:modified xsi:type="dcterms:W3CDTF">2026-09-08T16:26:08.302Z</dcterms:modified>
</cp:coreProperties>
</file>

<file path=docProps/custom.xml><?xml version="1.0" encoding="utf-8"?>
<Properties xmlns="http://schemas.openxmlformats.org/officeDocument/2006/custom-properties" xmlns:vt="http://schemas.openxmlformats.org/officeDocument/2006/docPropsVTypes"/>
</file>