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54A7" w:rsidRDefault="00667866">
      <w:pPr>
        <w:pStyle w:val="Heading1"/>
      </w:pPr>
      <w:bookmarkStart w:id="0" w:name="introduction"/>
      <w:bookmarkStart w:id="1" w:name="_GoBack"/>
      <w:bookmarkEnd w:id="1"/>
      <w:r>
        <w:t>Introduction</w:t>
      </w:r>
    </w:p>
    <w:p w:rsidR="002254A7" w:rsidRDefault="00667866">
      <w:pPr>
        <w:pStyle w:val="FirstParagraph"/>
      </w:pPr>
      <w:r>
        <w:t>“An actuary walks into a war room” sounds like the beginning of joke, but the idea matters a great deal for studying war. Actuaries typically work for insurance com</w:t>
      </w:r>
      <w:r>
        <w:t>panies or private firms, and their job is to model financial risk and ruin. That means they care about more than a single point estimate of the expected value of, say, an insurance claim. They care about the probability distribution over the possible claim</w:t>
      </w:r>
      <w:r>
        <w:t>s the insured might make. Often, these claims follow a thick tailed distribution, and because insurance companies want to avoid financial ruin, they take the odds of extreme events seriously and want their actuaries to use the most rigorous methods possibl</w:t>
      </w:r>
      <w:r>
        <w:t>e to quantify this risk.</w:t>
      </w:r>
    </w:p>
    <w:p w:rsidR="002254A7" w:rsidRDefault="00667866">
      <w:pPr>
        <w:pStyle w:val="BodyText"/>
      </w:pPr>
      <w:r>
        <w:t>Some political scientists, recognizing the value of this approach, recently made actuarial science relevant to the study of war. Cunen, Hjort, and Nygård (2020) did so when they used the inverse Burr distribution to model war size—</w:t>
      </w:r>
      <w:r>
        <w:t xml:space="preserve">a method obscure for most political scientists but standard issue in the actuary’s toolkit. Cunen, Hjort, and Nygård (2020) even used a statistical package created specifically for the purpose of doing actuarial science—an R package called </w:t>
      </w:r>
      <w:r>
        <w:rPr>
          <w:rStyle w:val="VerbatimChar"/>
        </w:rPr>
        <w:t>{actuar}</w:t>
      </w:r>
      <w:r>
        <w:t>—to supp</w:t>
      </w:r>
      <w:r>
        <w:t>ort their analysis.</w:t>
      </w:r>
    </w:p>
    <w:p w:rsidR="002254A7" w:rsidRDefault="00667866">
      <w:pPr>
        <w:pStyle w:val="BodyText"/>
      </w:pPr>
      <w:r>
        <w:t>But more work remains to be done if Cunen et al.’s contribution is to have a lasting impact on conflict research. While Cunen, Hjort, and Nygård (2020) deserve credit for introducing this method to conflict scholars, they say very littl</w:t>
      </w:r>
      <w:r>
        <w:t>e about the actuarial roots of their methodology, provide little guidance on using the inverse Burr, and do not offer a convenient programming interface for others to use if they want to apply this method in their own research.</w:t>
      </w:r>
    </w:p>
    <w:p w:rsidR="002254A7" w:rsidRDefault="00667866">
      <w:pPr>
        <w:pStyle w:val="BodyText"/>
      </w:pPr>
      <w:r>
        <w:t>The present study fills this</w:t>
      </w:r>
      <w:r>
        <w:t xml:space="preserve"> gap by (1) introducing an R package called </w:t>
      </w:r>
      <w:r>
        <w:rPr>
          <w:rStyle w:val="VerbatimChar"/>
        </w:rPr>
        <w:t>{actuwar}</w:t>
      </w:r>
      <w:r>
        <w:t xml:space="preserve"> (combining the name of the </w:t>
      </w:r>
      <w:r>
        <w:rPr>
          <w:rStyle w:val="VerbatimChar"/>
        </w:rPr>
        <w:t>{actuar}</w:t>
      </w:r>
      <w:r>
        <w:t xml:space="preserve"> package with “war”) that offers a convenient augmented programming interface (API) for estimating inverse Burr models in the R </w:t>
      </w:r>
      <w:r>
        <w:lastRenderedPageBreak/>
        <w:t>programming language widely used by pol</w:t>
      </w:r>
      <w:r>
        <w:t>itical scientists, and (2) by providing background on the inverse Burr, some intuitions for how the model works, and practical examples for how to draw inferences from model results. This contribution is important for two reasons.</w:t>
      </w:r>
    </w:p>
    <w:p w:rsidR="002254A7" w:rsidRDefault="00667866">
      <w:pPr>
        <w:pStyle w:val="BodyText"/>
      </w:pPr>
      <w:r>
        <w:t>First, the inverse Burr h</w:t>
      </w:r>
      <w:r>
        <w:t>as two advantages that conflict scholars may want to take advantage of: (1) it is capable of modeling extreme events with power-law-like behavior and smaller events simultaneously, and (2) it can be parameterized with covariates to improve model fit and te</w:t>
      </w:r>
      <w:r>
        <w:t>st hypotheses about factors that predict a higher or lower chance of extremely deadly wars. The classic power-law model many scholars have used to study war size can do neither. Software that makes the inverse Burr ready-to-hand is therefore an asset to co</w:t>
      </w:r>
      <w:r>
        <w:t>nflict scholars, and its absence has done little to promote wider adoption of the method.</w:t>
      </w:r>
    </w:p>
    <w:p w:rsidR="002254A7" w:rsidRDefault="00667866">
      <w:pPr>
        <w:pStyle w:val="BodyText"/>
      </w:pPr>
      <w:r>
        <w:t>Second, as promising as the inverse Burr is, it is a complex model that requires careful attention to interpretation of results. Researchers therefore need guidance o</w:t>
      </w:r>
      <w:r>
        <w:t xml:space="preserve">n how to use the inverse Burr—simply having an R package is insufficient. Assessing model output requires a different approach than most political scientists are accustomed to. The model is ideal, not for generating a unique prediction for war size, but a </w:t>
      </w:r>
      <w:r>
        <w:t>conditional distribution of possible war sizes that may take on a wide variety of complex shapes. The proposed R package contains tools that make summarizing and visualizing these model outputs as user-friendly as possible, and applied examples are provide</w:t>
      </w:r>
      <w:r>
        <w:t>d to both motivate why the proposed approaches are recommended and to show how to implement them.</w:t>
      </w:r>
    </w:p>
    <w:p w:rsidR="002254A7" w:rsidRDefault="00667866">
      <w:pPr>
        <w:pStyle w:val="BodyText"/>
      </w:pPr>
      <w:r>
        <w:t>The paper proceeds as follows. First, the significance of the power-law and its limitations for studying war is discussed, as is the value of the inverse Burr</w:t>
      </w:r>
      <w:r>
        <w:t xml:space="preserve"> model as an alternative to the power-law. Second, background on the inverse Burr is provided, along with intuition for how its parameters (there are three) influence the shape of its density function. Third, the </w:t>
      </w:r>
      <w:r>
        <w:rPr>
          <w:rStyle w:val="VerbatimChar"/>
        </w:rPr>
        <w:t>{actuwar}</w:t>
      </w:r>
      <w:r>
        <w:t xml:space="preserve"> package is introduced, using an a</w:t>
      </w:r>
      <w:r>
        <w:t>nalysis of the Correlates of War conflict series (Sarkees and Wayman 2010) to demonstrate how the package and the inverse Burr work. In addition to example code, this section offers practical advice on how to summarize and interpret results, and it highlig</w:t>
      </w:r>
      <w:r>
        <w:t>hts some important pitfalls conflict scholars should pay attention to. The paper concludes with a discussion of the inverse Burr’s significance for the quantitative study of war. As the world now enters a period of renewed conflict across the world, both c</w:t>
      </w:r>
      <w:r>
        <w:t>onflict scholars and policy-makers need access to a tool like the inverse Burr to analyze the risk that a particular conflict could snowball into an extremely deadly conflagration.</w:t>
      </w:r>
    </w:p>
    <w:p w:rsidR="002254A7" w:rsidRDefault="00667866">
      <w:pPr>
        <w:pStyle w:val="Heading1"/>
      </w:pPr>
      <w:bookmarkStart w:id="2" w:name="the-power-law-and-war"/>
      <w:bookmarkEnd w:id="0"/>
      <w:r>
        <w:t>The Power-law and War</w:t>
      </w:r>
    </w:p>
    <w:p w:rsidR="002254A7" w:rsidRDefault="00667866">
      <w:pPr>
        <w:pStyle w:val="FirstParagraph"/>
      </w:pPr>
      <w:r>
        <w:t>One of the foundational questions in the quantitative</w:t>
      </w:r>
      <w:r>
        <w:t xml:space="preserve"> study of war centers on why some wars are very large while most are relatively small. Lewis Fry Richardson(Richardson 1948, 1960) was among the first to approach this question using data. He was preceded in this effort by Wright and Wright (1942), but Ric</w:t>
      </w:r>
      <w:r>
        <w:t>hardson was the first to bring “real statistical acumen,” as Braumoeller (2021, 274) put it, to the subject. One of the key observations Richardson made was the fact that many wars are quite small while only a few become especially deadly. In his 1948 work</w:t>
      </w:r>
      <w:r>
        <w:t>, Richardson noted, in particular, that the distribution of war deaths displays power-law-like behavior, meaning that the wars that are the most deadly are exceptionally huge.</w:t>
      </w:r>
    </w:p>
    <w:p w:rsidR="002254A7" w:rsidRDefault="00667866">
      <w:pPr>
        <w:pStyle w:val="BodyText"/>
      </w:pPr>
      <w:r>
        <w:t>In the decades since Richardson’s work, questions about war started to focus mor</w:t>
      </w:r>
      <w:r>
        <w:t xml:space="preserve">e on dyadic correlates of international conflict rather than trends in war size, but interest in war size reemerged after the publication of the best-selling book, </w:t>
      </w:r>
      <w:r>
        <w:rPr>
          <w:i/>
          <w:iCs/>
        </w:rPr>
        <w:t>Better Angels of Our Nature</w:t>
      </w:r>
      <w:r>
        <w:t>, by psychologist Steven Pinker (2011). Pinker claimed that inter</w:t>
      </w:r>
      <w:r>
        <w:t>national wars, among many forms of violence, have become less common and deadly over time—an argument based on evidence from various datasets that cover centuries of international conflicts. This argument, known as the decline of war thesis, is not origina</w:t>
      </w:r>
      <w:r>
        <w:t>l to Pinker (see Gaddis 1986), but his book popularized the idea, prompting praise, but also some notable critical responses from international relations scholars. Some, like Fazal (2014), raised substantive concerns about using the decline in war deaths o</w:t>
      </w:r>
      <w:r>
        <w:t>ver time as evidence of war’s disappearance. She contends that improvements in battlefield medicine explain the decline in war over time deaths rather than a decline in bellicosity. Others, like Braumoeller (2019), raise methodological concerns about drawi</w:t>
      </w:r>
      <w:r>
        <w:t>ng inferences about trends in war deaths because of the power-law-like behavior of war fatalities.</w:t>
      </w:r>
    </w:p>
    <w:p w:rsidR="002254A7" w:rsidRDefault="00667866">
      <w:pPr>
        <w:pStyle w:val="BodyText"/>
      </w:pPr>
      <w:r>
        <w:t>The latter concern has drawn the most attention from researchers. Just like Richardson found decades ago, more recent and higher quality datasets such as the</w:t>
      </w:r>
      <w:r>
        <w:t xml:space="preserve"> war series produced by the Correlates of War (CoW) project (Sarkees and Wayman 2010) display extreme variation in war size. Figure 1 shows the variation in total battle deaths recorded per war in the CoW data by the first year each war started. The data d</w:t>
      </w:r>
      <w:r>
        <w:t>ocuments 95 international wars from 1816 to 2007, and it shows that most of the wars fought during the past two centuries were generally small, while a few were enormous. World War II, the deadliest war in the CoW dataset, had over 15 million recorded batt</w:t>
      </w:r>
      <w:r>
        <w:t>le deaths. This makes up about 51.8% of all battle deaths in the data. World War I and World War II combined make up 78.6% of all battle deaths, and the top 10 deadliest wars account for nearly 95% of all battle deaths. This kind of distribution is far mor</w:t>
      </w:r>
      <w:r>
        <w:t>e extreme than a typical Pareto distribution where 20% of observations are responsible for 80% of outcomes.</w:t>
      </w:r>
    </w:p>
    <w:p w:rsidR="002254A7" w:rsidRDefault="00667866">
      <w:pPr>
        <w:pStyle w:val="BodyText"/>
      </w:pPr>
      <w:r>
        <w:rPr>
          <w:noProof/>
        </w:rPr>
        <w:drawing>
          <wp:inline distT="0" distB="0" distL="0" distR="0">
            <wp:extent cx="5497394" cy="3664929"/>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_figs/fig1.png"/>
                    <pic:cNvPicPr>
                      <a:picLocks noChangeAspect="1" noChangeArrowheads="1"/>
                    </pic:cNvPicPr>
                  </pic:nvPicPr>
                  <pic:blipFill>
                    <a:blip r:embed="rId7"/>
                    <a:stretch>
                      <a:fillRect/>
                    </a:stretch>
                  </pic:blipFill>
                  <pic:spPr bwMode="auto">
                    <a:xfrm>
                      <a:off x="0" y="0"/>
                      <a:ext cx="5497394" cy="3664929"/>
                    </a:xfrm>
                    <a:prstGeom prst="rect">
                      <a:avLst/>
                    </a:prstGeom>
                    <a:noFill/>
                    <a:ln w="9525">
                      <a:noFill/>
                      <a:headEnd/>
                      <a:tailEnd/>
                    </a:ln>
                  </pic:spPr>
                </pic:pic>
              </a:graphicData>
            </a:graphic>
          </wp:inline>
        </w:drawing>
      </w:r>
    </w:p>
    <w:p w:rsidR="002254A7" w:rsidRDefault="00667866">
      <w:pPr>
        <w:pStyle w:val="BodyText"/>
      </w:pPr>
      <w:r>
        <w:t xml:space="preserve">Data that display such massive up-swings in magnitude require specialized statistical tools to analyze. Most recent studies on war fatalities use </w:t>
      </w:r>
      <w:r>
        <w:t>the classic power-law model (Braumoeller 2019; Cederman 2003; Cederman, Warren, and Sornette 2011; Cirillo and Taleb 2016; Clauset 2017, 2018; Spagat and Weezel 2020; Spagat, Johnson, and Weezel 2018). The model’s name takes inspiration from its functional</w:t>
      </w:r>
      <w:r>
        <w:t xml:space="preserve"> form, which specifies that the likelihood of seeing an event greater than size </w:t>
      </w:r>
      <m:oMath>
        <m:r>
          <w:rPr>
            <w:rFonts w:ascii="Cambria Math" w:hAnsi="Cambria Math"/>
          </w:rPr>
          <m:t>x</m:t>
        </m:r>
      </m:oMath>
      <w:r>
        <w:t xml:space="preserve"> is inversely proportional to the size of the event raised to the power </w:t>
      </w:r>
      <m:oMath>
        <m:r>
          <w:rPr>
            <w:rFonts w:ascii="Cambria Math" w:hAnsi="Cambria Math"/>
          </w:rPr>
          <m:t>α</m:t>
        </m:r>
        <m:r>
          <m:rPr>
            <m:sty m:val="p"/>
          </m:rPr>
          <w:rPr>
            <w:rFonts w:ascii="Cambria Math" w:hAnsi="Cambria Math"/>
          </w:rPr>
          <m:t>&gt;</m:t>
        </m:r>
        <m:r>
          <w:rPr>
            <w:rFonts w:ascii="Cambria Math" w:hAnsi="Cambria Math"/>
          </w:rPr>
          <m:t>0</m:t>
        </m:r>
      </m:oMath>
      <w:r>
        <w:t>:</w:t>
      </w:r>
    </w:p>
    <w:p w:rsidR="002254A7" w:rsidRDefault="00667866">
      <w:pPr>
        <w:pStyle w:val="BodyText"/>
      </w:pPr>
      <w:bookmarkStart w:id="3" w:name="eq-powerlaw"/>
      <m:oMathPara>
        <m:oMathParaPr>
          <m:jc m:val="center"/>
        </m:oMathParaPr>
        <m:oMath>
          <m:r>
            <m:rPr>
              <m:sty m:val="p"/>
            </m:rPr>
            <w:rPr>
              <w:rFonts w:ascii="Cambria Math" w:hAnsi="Cambria Math"/>
            </w:rPr>
            <m:t>Pr</m:t>
          </m:r>
          <m:d>
            <m:dPr>
              <m:ctrlPr>
                <w:rPr>
                  <w:rFonts w:ascii="Cambria Math" w:hAnsi="Cambria Math"/>
                </w:rPr>
              </m:ctrlPr>
            </m:dPr>
            <m:e>
              <m:r>
                <w:rPr>
                  <w:rFonts w:ascii="Cambria Math" w:hAnsi="Cambria Math"/>
                </w:rPr>
                <m:t>X</m:t>
              </m:r>
              <m:r>
                <m:rPr>
                  <m:sty m:val="p"/>
                </m:rPr>
                <w:rPr>
                  <w:rFonts w:ascii="Cambria Math" w:hAnsi="Cambria Math"/>
                </w:rPr>
                <m:t>&gt;</m:t>
              </m:r>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α</m:t>
              </m:r>
            </m:sup>
          </m:sSup>
          <m:r>
            <w:rPr>
              <w:rFonts w:ascii="Cambria Math" w:hAnsi="Cambria Math"/>
            </w:rPr>
            <m:t>  </m:t>
          </m:r>
          <m:d>
            <m:dPr>
              <m:ctrlPr>
                <w:rPr>
                  <w:rFonts w:ascii="Cambria Math" w:hAnsi="Cambria Math"/>
                </w:rPr>
              </m:ctrlPr>
            </m:dPr>
            <m:e>
              <m:r>
                <w:rPr>
                  <w:rFonts w:ascii="Cambria Math" w:hAnsi="Cambria Math"/>
                </w:rPr>
                <m:t>1</m:t>
              </m:r>
            </m:e>
          </m:d>
        </m:oMath>
      </m:oMathPara>
      <w:bookmarkEnd w:id="3"/>
    </w:p>
    <w:p w:rsidR="002254A7" w:rsidRDefault="00667866">
      <w:pPr>
        <w:pStyle w:val="FirstParagraph"/>
      </w:pPr>
      <w:r>
        <w:t xml:space="preserve">The parameter </w:t>
      </w:r>
      <m:oMath>
        <m:r>
          <w:rPr>
            <w:rFonts w:ascii="Cambria Math" w:hAnsi="Cambria Math"/>
          </w:rPr>
          <m:t>α</m:t>
        </m:r>
      </m:oMath>
      <w:r>
        <w:t xml:space="preserve"> is known as the power-law slope, and it determines the likeli</w:t>
      </w:r>
      <w:r>
        <w:t>hood of extreme events. Bigger values mean the likelihood of extreme events is lower, while smaller values mean the likelihood of extreme events is higher.</w:t>
      </w:r>
    </w:p>
    <w:p w:rsidR="002254A7" w:rsidRDefault="00667866">
      <w:pPr>
        <w:pStyle w:val="BodyText"/>
      </w:pPr>
      <w:r>
        <w:t>In practice, the power-law has some unique behaviors that pose a challenge for fitting it to real wo</w:t>
      </w:r>
      <w:r>
        <w:t xml:space="preserve">rld data and for drawing sensible statistical inferences. One of the most consequential is that if the </w:t>
      </w:r>
      <m:oMath>
        <m:r>
          <w:rPr>
            <w:rFonts w:ascii="Cambria Math" w:hAnsi="Cambria Math"/>
          </w:rPr>
          <m:t>α</m:t>
        </m:r>
      </m:oMath>
      <w:r>
        <w:t xml:space="preserve"> parameter is less than or equal to 3, finite variance for the variable </w:t>
      </w:r>
      <m:oMath>
        <m:r>
          <w:rPr>
            <w:rFonts w:ascii="Cambria Math" w:hAnsi="Cambria Math"/>
          </w:rPr>
          <m:t>x</m:t>
        </m:r>
      </m:oMath>
      <w:r>
        <w:t xml:space="preserve"> cannot be guaranteed. Even worse, if </w:t>
      </w:r>
      <m:oMath>
        <m:r>
          <w:rPr>
            <w:rFonts w:ascii="Cambria Math" w:hAnsi="Cambria Math"/>
          </w:rPr>
          <m:t>α</m:t>
        </m:r>
      </m:oMath>
      <w:r>
        <w:t xml:space="preserve"> is less than or equal 2, a finite me</w:t>
      </w:r>
      <w:r>
        <w:t>an cannot be identified. This means a power-law fit for the data may yield a result that says the expected magnitude of the variable is statistically indistinguishable from infinity. As it happens, this behavior seems to apply to war. Many recent studies e</w:t>
      </w:r>
      <w:r>
        <w:t xml:space="preserve">stimate </w:t>
      </w:r>
      <m:oMath>
        <m:r>
          <w:rPr>
            <w:rFonts w:ascii="Cambria Math" w:hAnsi="Cambria Math"/>
          </w:rPr>
          <m:t>α</m:t>
        </m:r>
      </m:oMath>
      <w:r>
        <w:t>s with values less than 2, and some scholars, like Braumoeller (2019), infer from this that extinction-level wars are not just possible but probable, with a higher likelihood than many assume.</w:t>
      </w:r>
    </w:p>
    <w:p w:rsidR="002254A7" w:rsidRDefault="00667866">
      <w:pPr>
        <w:pStyle w:val="BodyText"/>
      </w:pPr>
      <w:r>
        <w:t>In terms of practical challenges, most real-world data do not uniformly obey the power-law. Usually only the most extreme events do. This fact is noted by Clauset, Shalizi, and Newman (2009) whose recommendations for using the power-law have become canonic</w:t>
      </w:r>
      <w:r>
        <w:t xml:space="preserve">al. They suggest identifying a minimum value of </w:t>
      </w:r>
      <m:oMath>
        <m:r>
          <w:rPr>
            <w:rFonts w:ascii="Cambria Math" w:hAnsi="Cambria Math"/>
          </w:rPr>
          <m:t>x</m:t>
        </m:r>
      </m:oMath>
      <w:r>
        <w:t xml:space="preserve"> such that the data is power-law distributed for all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min</m:t>
            </m:r>
          </m:sub>
        </m:sSub>
      </m:oMath>
      <w:r>
        <w:t xml:space="preserve"> using iterative goodness of fit tests to identify the optimal </w:t>
      </w:r>
      <m:oMath>
        <m:sSub>
          <m:sSubPr>
            <m:ctrlPr>
              <w:rPr>
                <w:rFonts w:ascii="Cambria Math" w:hAnsi="Cambria Math"/>
              </w:rPr>
            </m:ctrlPr>
          </m:sSubPr>
          <m:e>
            <m:r>
              <w:rPr>
                <w:rFonts w:ascii="Cambria Math" w:hAnsi="Cambria Math"/>
              </w:rPr>
              <m:t>x</m:t>
            </m:r>
          </m:e>
          <m:sub>
            <m:r>
              <m:rPr>
                <m:nor/>
              </m:rPr>
              <m:t>min</m:t>
            </m:r>
          </m:sub>
        </m:sSub>
      </m:oMath>
      <w:r>
        <w:t>. While this seems like a compromise, Clauset, Young, and Gleditsch (2007) ar</w:t>
      </w:r>
      <w:r>
        <w:t>gue that in many studies, power-law behavior in the extreme tail of a thick-tailed distribution is of greatest concern to researchers. Some data truncation is seen as a necessary trade-off for ensuring an accurate fit for the largest events in the data.</w:t>
      </w:r>
    </w:p>
    <w:p w:rsidR="002254A7" w:rsidRDefault="00667866">
      <w:pPr>
        <w:pStyle w:val="BodyText"/>
      </w:pPr>
      <w:r>
        <w:t>Th</w:t>
      </w:r>
      <w:r>
        <w:t xml:space="preserve">is practical concern is also relevant for studying war. Using the CoW dataset used to produce Figure 1, Figure 2 shows the optimal fit for a power-law model to the war series based on the methods outlined by Clauset, Shalizi, and Newman (2009). Consistent </w:t>
      </w:r>
      <w:r>
        <w:t xml:space="preserve">with best-practice, the appropriateness of the power-law fit for data is shown using a log-log plot where the observed values of battle deaths are shown on the x-axis and the empirical CDF, </w:t>
      </w:r>
      <m:oMath>
        <m:r>
          <m:rPr>
            <m:sty m:val="p"/>
          </m:rPr>
          <w:rPr>
            <w:rFonts w:ascii="Cambria Math" w:hAnsi="Cambria Math"/>
          </w:rPr>
          <m:t>Pr</m:t>
        </m:r>
        <m:d>
          <m:dPr>
            <m:ctrlPr>
              <w:rPr>
                <w:rFonts w:ascii="Cambria Math" w:hAnsi="Cambria Math"/>
              </w:rPr>
            </m:ctrlPr>
          </m:dPr>
          <m:e>
            <m:r>
              <w:rPr>
                <w:rFonts w:ascii="Cambria Math" w:hAnsi="Cambria Math"/>
              </w:rPr>
              <m:t>X</m:t>
            </m:r>
            <m:r>
              <m:rPr>
                <m:sty m:val="p"/>
              </m:rPr>
              <w:rPr>
                <w:rFonts w:ascii="Cambria Math" w:hAnsi="Cambria Math"/>
              </w:rPr>
              <m:t>&gt;</m:t>
            </m:r>
            <m:r>
              <w:rPr>
                <w:rFonts w:ascii="Cambria Math" w:hAnsi="Cambria Math"/>
              </w:rPr>
              <m:t>x</m:t>
            </m:r>
          </m:e>
        </m:d>
      </m:oMath>
      <w:r>
        <w:t>, is shown on the y-axis. Based on the form of the power-la</w:t>
      </w:r>
      <w:r>
        <w:t xml:space="preserve">w model, in a log-log plot you should see a negative linear relationship between </w:t>
      </w:r>
      <m:oMath>
        <m:r>
          <w:rPr>
            <w:rFonts w:ascii="Cambria Math" w:hAnsi="Cambria Math"/>
          </w:rPr>
          <m:t>x</m:t>
        </m:r>
      </m:oMath>
      <w:r>
        <w:t xml:space="preserve"> and </w:t>
      </w:r>
      <m:oMath>
        <m:r>
          <m:rPr>
            <m:sty m:val="p"/>
          </m:rPr>
          <w:rPr>
            <w:rFonts w:ascii="Cambria Math" w:hAnsi="Cambria Math"/>
          </w:rPr>
          <m:t>Pr</m:t>
        </m:r>
        <m:d>
          <m:dPr>
            <m:ctrlPr>
              <w:rPr>
                <w:rFonts w:ascii="Cambria Math" w:hAnsi="Cambria Math"/>
              </w:rPr>
            </m:ctrlPr>
          </m:dPr>
          <m:e>
            <m:r>
              <w:rPr>
                <w:rFonts w:ascii="Cambria Math" w:hAnsi="Cambria Math"/>
              </w:rPr>
              <m:t>X</m:t>
            </m:r>
            <m:r>
              <m:rPr>
                <m:sty m:val="p"/>
              </m:rPr>
              <w:rPr>
                <w:rFonts w:ascii="Cambria Math" w:hAnsi="Cambria Math"/>
              </w:rPr>
              <m:t>&gt;</m:t>
            </m:r>
            <m:r>
              <w:rPr>
                <w:rFonts w:ascii="Cambria Math" w:hAnsi="Cambria Math"/>
              </w:rPr>
              <m:t>x</m:t>
            </m:r>
          </m:e>
        </m:d>
      </m:oMath>
      <w:r>
        <w:t xml:space="preserve">. Sure enough, this is what we observe in the data, save for one caveat. The power-law only makes a good fit for all wars with fatalities </w:t>
      </w:r>
      <m:oMath>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061</m:t>
        </m:r>
      </m:oMath>
      <w:r>
        <w:t>. Specifically, t</w:t>
      </w:r>
      <w:r>
        <w:t xml:space="preserve">he parameters for the power-law model are </w:t>
      </w:r>
      <m:oMath>
        <m:r>
          <w:rPr>
            <w:rFonts w:ascii="Cambria Math" w:hAnsi="Cambria Math"/>
          </w:rPr>
          <m:t>α</m:t>
        </m:r>
        <m:r>
          <m:rPr>
            <m:sty m:val="p"/>
          </m:rPr>
          <w:rPr>
            <w:rFonts w:ascii="Cambria Math" w:hAnsi="Cambria Math"/>
          </w:rPr>
          <m:t>=</m:t>
        </m:r>
        <m:r>
          <w:rPr>
            <w:rFonts w:ascii="Cambria Math" w:hAnsi="Cambria Math"/>
          </w:rPr>
          <m:t>1.525</m:t>
        </m:r>
      </m:oMath>
      <w:r>
        <w:t xml:space="preserve"> and </w:t>
      </w:r>
      <m:oMath>
        <m:sSub>
          <m:sSubPr>
            <m:ctrlPr>
              <w:rPr>
                <w:rFonts w:ascii="Cambria Math" w:hAnsi="Cambria Math"/>
              </w:rPr>
            </m:ctrlPr>
          </m:sSubPr>
          <m:e>
            <m:r>
              <w:rPr>
                <w:rFonts w:ascii="Cambria Math" w:hAnsi="Cambria Math"/>
              </w:rPr>
              <m:t>x</m:t>
            </m:r>
          </m:e>
          <m:sub>
            <m:r>
              <m:rPr>
                <m:nor/>
              </m:rPr>
              <m:t>min</m:t>
            </m:r>
          </m:sub>
        </m:sSub>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061</m:t>
        </m:r>
      </m:oMath>
      <w:r>
        <w:t xml:space="preserve">. While the minimum war size where the power-law applies is small, because of the extreme distribution in war deaths nearly a majority of the wars in the data </w:t>
      </w:r>
      <w:r>
        <w:rPr>
          <w:i/>
          <w:iCs/>
        </w:rPr>
        <w:t>cannot be explained</w:t>
      </w:r>
      <w:r>
        <w:t xml:space="preserve"> by the mode</w:t>
      </w:r>
      <w:r>
        <w:t xml:space="preserve">l (46.3% fall below </w:t>
      </w:r>
      <m:oMath>
        <m:r>
          <w:rPr>
            <w:rFonts w:ascii="Cambria Math" w:hAnsi="Cambria Math"/>
          </w:rPr>
          <m:t>7</m:t>
        </m:r>
        <m:r>
          <m:rPr>
            <m:sty m:val="p"/>
          </m:rPr>
          <w:rPr>
            <w:rFonts w:ascii="Cambria Math" w:hAnsi="Cambria Math"/>
          </w:rPr>
          <m:t>,</m:t>
        </m:r>
        <m:r>
          <w:rPr>
            <w:rFonts w:ascii="Cambria Math" w:hAnsi="Cambria Math"/>
          </w:rPr>
          <m:t>061</m:t>
        </m:r>
      </m:oMath>
      <w:r>
        <w:t>).</w:t>
      </w:r>
    </w:p>
    <w:p w:rsidR="002254A7" w:rsidRDefault="00667866">
      <w:pPr>
        <w:pStyle w:val="BodyText"/>
      </w:pPr>
      <w:r>
        <w:rPr>
          <w:noProof/>
        </w:rPr>
        <w:drawing>
          <wp:inline distT="0" distB="0" distL="0" distR="0">
            <wp:extent cx="5497394" cy="3664929"/>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_figs/fig2.png"/>
                    <pic:cNvPicPr>
                      <a:picLocks noChangeAspect="1" noChangeArrowheads="1"/>
                    </pic:cNvPicPr>
                  </pic:nvPicPr>
                  <pic:blipFill>
                    <a:blip r:embed="rId8"/>
                    <a:stretch>
                      <a:fillRect/>
                    </a:stretch>
                  </pic:blipFill>
                  <pic:spPr bwMode="auto">
                    <a:xfrm>
                      <a:off x="0" y="0"/>
                      <a:ext cx="5497394" cy="3664929"/>
                    </a:xfrm>
                    <a:prstGeom prst="rect">
                      <a:avLst/>
                    </a:prstGeom>
                    <a:noFill/>
                    <a:ln w="9525">
                      <a:noFill/>
                      <a:headEnd/>
                      <a:tailEnd/>
                    </a:ln>
                  </pic:spPr>
                </pic:pic>
              </a:graphicData>
            </a:graphic>
          </wp:inline>
        </w:drawing>
      </w:r>
    </w:p>
    <w:p w:rsidR="002254A7" w:rsidRDefault="00667866">
      <w:pPr>
        <w:pStyle w:val="BodyText"/>
      </w:pPr>
      <w:r>
        <w:t>Most scholars who have used the power-law to study variation in the size of war accept some data loss as a reasonable trade-off for the ability to accurately fit the power-law for extreme conflicts. However, more recent work b</w:t>
      </w:r>
      <w:r>
        <w:t>y Cunen, Hjort, and Nygård (2020) raises the concern that the conventional power-law model leaves substantial, and informative, variation in war unexplained. By removing observations, Cunen, Hjort, and Nygård (2020) worry that statistical precision is bein</w:t>
      </w:r>
      <w:r>
        <w:t>g needlessly sacrificed for the sake of making a square peg fit into a round hole.</w:t>
      </w:r>
    </w:p>
    <w:p w:rsidR="002254A7" w:rsidRDefault="00667866">
      <w:pPr>
        <w:pStyle w:val="BodyText"/>
      </w:pPr>
      <w:r>
        <w:t>While it may seem like methodological splitting hairs, conflicting findings in recent studies suggest that this point has merit. Using power-law models fit before and after World War II and an innovative bootstrapping procedure for statistical inference wi</w:t>
      </w:r>
      <w:r>
        <w:t>th power-law slopes, Braumoeller (2019) fails to find evidence that wars before and after 1945 are drawn from different distributions. Other work yields similar conclusions (Clauset 2017, 2018), but not all studies agree (Cunen, Hjort, and Nygård 2020); Sp</w:t>
      </w:r>
      <w:r>
        <w:t>agat and Weezel (2020)].</w:t>
      </w:r>
    </w:p>
    <w:p w:rsidR="002254A7" w:rsidRDefault="00667866">
      <w:pPr>
        <w:pStyle w:val="BodyText"/>
      </w:pPr>
      <w:r>
        <w:t>Cunen, Hjort, and Nygård (2020), who claim to find evidence of a significant decline in the chance of extremely deadly wars over time, also propose an alternative statistical model to the classic power-law. They suggestion, instead</w:t>
      </w:r>
      <w:r>
        <w:t>, using the inverse Burr model—a method with some purchase in actuarial science but obscure to most political scientists. One of the argued strengths of the inverse Burr is its ability to model an extreme power-law tail and smaller events simultaneously as</w:t>
      </w:r>
      <w:r>
        <w:t xml:space="preserve"> one smooth function.</w:t>
      </w:r>
    </w:p>
    <w:p w:rsidR="002254A7" w:rsidRDefault="00667866">
      <w:pPr>
        <w:pStyle w:val="BodyText"/>
      </w:pPr>
      <w:r>
        <w:t>To demonstrate the difference in model fit with the inverse Burr, Figure 3 shows the same data as presented in Figure 2, but with the inverse Burr fit to the data rather than the power-law. The inverse Burr is more complex than the cl</w:t>
      </w:r>
      <w:r>
        <w:t xml:space="preserve">assic power-law, allowing it to accommodate power-law behavior in the extreme tail of the distribution while also explaining variation in smaller events that fall below the </w:t>
      </w:r>
      <m:oMath>
        <m:sSub>
          <m:sSubPr>
            <m:ctrlPr>
              <w:rPr>
                <w:rFonts w:ascii="Cambria Math" w:hAnsi="Cambria Math"/>
              </w:rPr>
            </m:ctrlPr>
          </m:sSubPr>
          <m:e>
            <m:r>
              <w:rPr>
                <w:rFonts w:ascii="Cambria Math" w:hAnsi="Cambria Math"/>
              </w:rPr>
              <m:t>x</m:t>
            </m:r>
          </m:e>
          <m:sub>
            <m:r>
              <m:rPr>
                <m:nor/>
              </m:rPr>
              <m:t>min</m:t>
            </m:r>
          </m:sub>
        </m:sSub>
      </m:oMath>
      <w:r>
        <w:t xml:space="preserve"> threshold required to fit the classic power-law to data.</w:t>
      </w:r>
    </w:p>
    <w:p w:rsidR="002254A7" w:rsidRDefault="00667866">
      <w:pPr>
        <w:pStyle w:val="BodyText"/>
      </w:pPr>
      <w:r>
        <w:rPr>
          <w:noProof/>
        </w:rPr>
        <w:drawing>
          <wp:inline distT="0" distB="0" distL="0" distR="0">
            <wp:extent cx="5497394" cy="3664929"/>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_figs/fig3.png"/>
                    <pic:cNvPicPr>
                      <a:picLocks noChangeAspect="1" noChangeArrowheads="1"/>
                    </pic:cNvPicPr>
                  </pic:nvPicPr>
                  <pic:blipFill>
                    <a:blip r:embed="rId9"/>
                    <a:stretch>
                      <a:fillRect/>
                    </a:stretch>
                  </pic:blipFill>
                  <pic:spPr bwMode="auto">
                    <a:xfrm>
                      <a:off x="0" y="0"/>
                      <a:ext cx="5497394" cy="3664929"/>
                    </a:xfrm>
                    <a:prstGeom prst="rect">
                      <a:avLst/>
                    </a:prstGeom>
                    <a:noFill/>
                    <a:ln w="9525">
                      <a:noFill/>
                      <a:headEnd/>
                      <a:tailEnd/>
                    </a:ln>
                  </pic:spPr>
                </pic:pic>
              </a:graphicData>
            </a:graphic>
          </wp:inline>
        </w:drawing>
      </w:r>
    </w:p>
    <w:p w:rsidR="002254A7" w:rsidRDefault="00667866">
      <w:pPr>
        <w:pStyle w:val="BodyText"/>
      </w:pPr>
      <w:r>
        <w:t>The inverse Burr m</w:t>
      </w:r>
      <w:r>
        <w:t xml:space="preserve">odel has three parameters: a scale parameter </w:t>
      </w:r>
      <m:oMath>
        <m:r>
          <w:rPr>
            <w:rFonts w:ascii="Cambria Math" w:hAnsi="Cambria Math"/>
          </w:rPr>
          <m:t>μ</m:t>
        </m:r>
      </m:oMath>
      <w:r>
        <w:t xml:space="preserve">, and two shape parameters, </w:t>
      </w:r>
      <m:oMath>
        <m:r>
          <w:rPr>
            <w:rFonts w:ascii="Cambria Math" w:hAnsi="Cambria Math"/>
          </w:rPr>
          <m:t>α</m:t>
        </m:r>
      </m:oMath>
      <w:r>
        <w:t xml:space="preserve"> and </w:t>
      </w:r>
      <m:oMath>
        <m:r>
          <w:rPr>
            <w:rFonts w:ascii="Cambria Math" w:hAnsi="Cambria Math"/>
          </w:rPr>
          <m:t>θ</m:t>
        </m:r>
      </m:oMath>
      <w:r>
        <w:t xml:space="preserve">. A good way to think about these parameters is that </w:t>
      </w:r>
      <m:oMath>
        <m:r>
          <w:rPr>
            <w:rFonts w:ascii="Cambria Math" w:hAnsi="Cambria Math"/>
          </w:rPr>
          <m:t>μ</m:t>
        </m:r>
      </m:oMath>
      <w:r>
        <w:t xml:space="preserve"> captures the central tendency of the data, </w:t>
      </w:r>
      <m:oMath>
        <m:r>
          <w:rPr>
            <w:rFonts w:ascii="Cambria Math" w:hAnsi="Cambria Math"/>
          </w:rPr>
          <m:t>α</m:t>
        </m:r>
      </m:oMath>
      <w:r>
        <w:t xml:space="preserve"> captures the density of the data leading up to its central tendency, a</w:t>
      </w:r>
      <w:r>
        <w:t xml:space="preserve">nd </w:t>
      </w:r>
      <m:oMath>
        <m:r>
          <w:rPr>
            <w:rFonts w:ascii="Cambria Math" w:hAnsi="Cambria Math"/>
          </w:rPr>
          <m:t>θ</m:t>
        </m:r>
      </m:oMath>
      <w:r>
        <w:t xml:space="preserve"> captures the density of extreme values to the right of the data’s central tendency. Confusingly, the last parameter, </w:t>
      </w:r>
      <m:oMath>
        <m:r>
          <w:rPr>
            <w:rFonts w:ascii="Cambria Math" w:hAnsi="Cambria Math"/>
          </w:rPr>
          <m:t>θ</m:t>
        </m:r>
      </m:oMath>
      <w:r>
        <w:t xml:space="preserve">, is approximately analogous to the power-law slope </w:t>
      </w:r>
      <m:oMath>
        <m:r>
          <w:rPr>
            <w:rFonts w:ascii="Cambria Math" w:hAnsi="Cambria Math"/>
          </w:rPr>
          <m:t>α</m:t>
        </m:r>
      </m:oMath>
      <w:r>
        <w:t>.</w:t>
      </w:r>
    </w:p>
    <w:p w:rsidR="002254A7" w:rsidRDefault="00667866">
      <w:pPr>
        <w:pStyle w:val="BodyText"/>
      </w:pPr>
      <w:r>
        <w:t xml:space="preserve">The </w:t>
      </w:r>
      <m:oMath>
        <m:r>
          <m:rPr>
            <m:sty m:val="p"/>
          </m:rPr>
          <w:rPr>
            <w:rFonts w:ascii="Cambria Math" w:hAnsi="Cambria Math"/>
          </w:rPr>
          <m:t>Pr</m:t>
        </m:r>
        <m:d>
          <m:dPr>
            <m:ctrlPr>
              <w:rPr>
                <w:rFonts w:ascii="Cambria Math" w:hAnsi="Cambria Math"/>
              </w:rPr>
            </m:ctrlPr>
          </m:dPr>
          <m:e>
            <m:r>
              <w:rPr>
                <w:rFonts w:ascii="Cambria Math" w:hAnsi="Cambria Math"/>
              </w:rPr>
              <m:t>X</m:t>
            </m:r>
            <m:r>
              <m:rPr>
                <m:sty m:val="p"/>
              </m:rPr>
              <w:rPr>
                <w:rFonts w:ascii="Cambria Math" w:hAnsi="Cambria Math"/>
              </w:rPr>
              <m:t>&gt;</m:t>
            </m:r>
            <m:r>
              <w:rPr>
                <w:rFonts w:ascii="Cambria Math" w:hAnsi="Cambria Math"/>
              </w:rPr>
              <m:t>x</m:t>
            </m:r>
          </m:e>
        </m:d>
      </m:oMath>
      <w:r>
        <w:t xml:space="preserve"> as specified by the inverse Burr is given as:</w:t>
      </w:r>
    </w:p>
    <w:p w:rsidR="002254A7" w:rsidRDefault="00667866">
      <w:pPr>
        <w:pStyle w:val="BodyText"/>
      </w:pPr>
      <w:bookmarkStart w:id="4" w:name="eq-invburr"/>
      <m:oMathPara>
        <m:oMathParaPr>
          <m:jc m:val="center"/>
        </m:oMathParaPr>
        <m:oMath>
          <m:r>
            <m:rPr>
              <m:sty m:val="p"/>
            </m:rPr>
            <w:rPr>
              <w:rFonts w:ascii="Cambria Math" w:hAnsi="Cambria Math"/>
            </w:rPr>
            <m:t>Pr</m:t>
          </m:r>
          <m:d>
            <m:dPr>
              <m:ctrlPr>
                <w:rPr>
                  <w:rFonts w:ascii="Cambria Math" w:hAnsi="Cambria Math"/>
                </w:rPr>
              </m:ctrlPr>
            </m:dPr>
            <m:e>
              <m:r>
                <w:rPr>
                  <w:rFonts w:ascii="Cambria Math" w:hAnsi="Cambria Math"/>
                </w:rPr>
                <m:t>X</m:t>
              </m:r>
              <m:r>
                <m:rPr>
                  <m:sty m:val="p"/>
                </m:rPr>
                <w:rPr>
                  <w:rFonts w:ascii="Cambria Math" w:hAnsi="Cambria Math"/>
                </w:rPr>
                <m:t>&gt;</m:t>
              </m:r>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e>
                        <m:sup>
                          <m:r>
                            <w:rPr>
                              <w:rFonts w:ascii="Cambria Math" w:hAnsi="Cambria Math"/>
                            </w:rPr>
                            <m:t>θ</m:t>
                          </m:r>
                        </m:sup>
                      </m:sSup>
                    </m:num>
                    <m:den>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e>
                        <m:sup>
                          <m:r>
                            <w:rPr>
                              <w:rFonts w:ascii="Cambria Math" w:hAnsi="Cambria Math"/>
                            </w:rPr>
                            <m:t>θ</m:t>
                          </m:r>
                        </m:sup>
                      </m:sSup>
                    </m:den>
                  </m:f>
                </m:e>
              </m:d>
            </m:e>
            <m:sup>
              <m:r>
                <w:rPr>
                  <w:rFonts w:ascii="Cambria Math" w:hAnsi="Cambria Math"/>
                </w:rPr>
                <m:t>α</m:t>
              </m:r>
            </m:sup>
          </m:sSup>
          <m:r>
            <w:rPr>
              <w:rFonts w:ascii="Cambria Math" w:hAnsi="Cambria Math"/>
            </w:rPr>
            <m:t>  </m:t>
          </m:r>
          <m:d>
            <m:dPr>
              <m:ctrlPr>
                <w:rPr>
                  <w:rFonts w:ascii="Cambria Math" w:hAnsi="Cambria Math"/>
                </w:rPr>
              </m:ctrlPr>
            </m:dPr>
            <m:e>
              <m:r>
                <w:rPr>
                  <w:rFonts w:ascii="Cambria Math" w:hAnsi="Cambria Math"/>
                </w:rPr>
                <m:t>2</m:t>
              </m:r>
            </m:e>
          </m:d>
        </m:oMath>
      </m:oMathPara>
      <w:bookmarkEnd w:id="4"/>
    </w:p>
    <w:p w:rsidR="002254A7" w:rsidRDefault="00667866">
      <w:pPr>
        <w:pStyle w:val="FirstParagraph"/>
      </w:pPr>
      <w:r>
        <w:t xml:space="preserve">where </w:t>
      </w:r>
      <m:oMath>
        <m:r>
          <w:rPr>
            <w:rFonts w:ascii="Cambria Math" w:hAnsi="Cambria Math"/>
          </w:rPr>
          <m:t>x</m:t>
        </m:r>
      </m:oMath>
      <w:r>
        <w:t xml:space="preserve">, </w:t>
      </w:r>
      <m:oMath>
        <m:r>
          <w:rPr>
            <w:rFonts w:ascii="Cambria Math" w:hAnsi="Cambria Math"/>
          </w:rPr>
          <m:t>μ</m:t>
        </m:r>
      </m:oMath>
      <w:r>
        <w:t xml:space="preserve">, </w:t>
      </w:r>
      <m:oMath>
        <m:r>
          <w:rPr>
            <w:rFonts w:ascii="Cambria Math" w:hAnsi="Cambria Math"/>
          </w:rPr>
          <m:t>α</m:t>
        </m:r>
      </m:oMath>
      <w:r>
        <w:t xml:space="preserve">, and </w:t>
      </w:r>
      <m:oMath>
        <m:r>
          <w:rPr>
            <w:rFonts w:ascii="Cambria Math" w:hAnsi="Cambria Math"/>
          </w:rPr>
          <m:t>θ</m:t>
        </m:r>
      </m:oMath>
      <w:r>
        <w:t xml:space="preserve"> are all strictly positive. For very large </w:t>
      </w:r>
      <m:oMath>
        <m:r>
          <w:rPr>
            <w:rFonts w:ascii="Cambria Math" w:hAnsi="Cambria Math"/>
          </w:rPr>
          <m:t>x</m:t>
        </m:r>
      </m:oMath>
      <w:r>
        <w:t xml:space="preserve">, the fact that </w:t>
      </w:r>
      <m:oMath>
        <m:r>
          <w:rPr>
            <w:rFonts w:ascii="Cambria Math" w:hAnsi="Cambria Math"/>
          </w:rPr>
          <m:t>θ</m:t>
        </m:r>
      </m:oMath>
      <w:r>
        <w:t xml:space="preserve"> captures power-law behavior can be seen by the following approximate specification:</w:t>
      </w:r>
    </w:p>
    <w:p w:rsidR="002254A7" w:rsidRDefault="00667866">
      <w:pPr>
        <w:pStyle w:val="BodyText"/>
      </w:pPr>
      <w:bookmarkStart w:id="5" w:name="eq-largeinvburr"/>
      <m:oMathPara>
        <m:oMathParaPr>
          <m:jc m:val="center"/>
        </m:oMathParaPr>
        <m:oMath>
          <m:r>
            <m:rPr>
              <m:sty m:val="p"/>
            </m:rPr>
            <w:rPr>
              <w:rFonts w:ascii="Cambria Math" w:hAnsi="Cambria Math"/>
            </w:rPr>
            <m:t>Pr</m:t>
          </m:r>
          <m:d>
            <m:dPr>
              <m:ctrlPr>
                <w:rPr>
                  <w:rFonts w:ascii="Cambria Math" w:hAnsi="Cambria Math"/>
                </w:rPr>
              </m:ctrlPr>
            </m:dPr>
            <m:e>
              <m:r>
                <w:rPr>
                  <w:rFonts w:ascii="Cambria Math" w:hAnsi="Cambria Math"/>
                </w:rPr>
                <m:t>X</m:t>
              </m:r>
              <m:r>
                <m:rPr>
                  <m:sty m:val="p"/>
                </m:rPr>
                <w:rPr>
                  <w:rFonts w:ascii="Cambria Math" w:hAnsi="Cambria Math"/>
                </w:rPr>
                <m:t>&gt;</m:t>
              </m:r>
              <m:r>
                <w:rPr>
                  <w:rFonts w:ascii="Cambria Math" w:hAnsi="Cambria Math"/>
                </w:rPr>
                <m:t>x</m:t>
              </m:r>
            </m:e>
          </m:d>
          <m:r>
            <m:rPr>
              <m:sty m:val="p"/>
            </m:rPr>
            <w:rPr>
              <w:rFonts w:ascii="Cambria Math" w:hAnsi="Cambria Math"/>
            </w:rPr>
            <m:t>≈</m:t>
          </m:r>
          <m:r>
            <w:rPr>
              <w:rFonts w:ascii="Cambria Math" w:hAnsi="Cambria Math"/>
            </w:rPr>
            <m:t>α</m:t>
          </m:r>
          <m:sSup>
            <m:sSupPr>
              <m:ctrlPr>
                <w:rPr>
                  <w:rFonts w:ascii="Cambria Math" w:hAnsi="Cambria Math"/>
                </w:rPr>
              </m:ctrlPr>
            </m:sSupPr>
            <m:e>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x</m:t>
                  </m:r>
                </m:e>
              </m:d>
            </m:e>
            <m:sup>
              <m:r>
                <w:rPr>
                  <w:rFonts w:ascii="Cambria Math" w:hAnsi="Cambria Math"/>
                </w:rPr>
                <m:t>θ</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bookmarkEnd w:id="5"/>
    </w:p>
    <w:p w:rsidR="002254A7" w:rsidRDefault="00667866">
      <w:pPr>
        <w:pStyle w:val="FirstParagraph"/>
      </w:pPr>
      <w:r>
        <w:t>This functional form offers more flexibility, w</w:t>
      </w:r>
      <w:r>
        <w:t xml:space="preserve">hich is on display in Figure 3. Rather than being restricted to fitting a linear relationship between </w:t>
      </w:r>
      <m:oMath>
        <m:r>
          <w:rPr>
            <w:rFonts w:ascii="Cambria Math" w:hAnsi="Cambria Math"/>
          </w:rPr>
          <m:t>x</m:t>
        </m:r>
      </m:oMath>
      <w:r>
        <w:t xml:space="preserve"> and </w:t>
      </w:r>
      <m:oMath>
        <m:r>
          <m:rPr>
            <m:sty m:val="p"/>
          </m:rPr>
          <w:rPr>
            <w:rFonts w:ascii="Cambria Math" w:hAnsi="Cambria Math"/>
          </w:rPr>
          <m:t>Pr</m:t>
        </m:r>
        <m:d>
          <m:dPr>
            <m:ctrlPr>
              <w:rPr>
                <w:rFonts w:ascii="Cambria Math" w:hAnsi="Cambria Math"/>
              </w:rPr>
            </m:ctrlPr>
          </m:dPr>
          <m:e>
            <m:r>
              <w:rPr>
                <w:rFonts w:ascii="Cambria Math" w:hAnsi="Cambria Math"/>
              </w:rPr>
              <m:t>X</m:t>
            </m:r>
            <m:r>
              <m:rPr>
                <m:sty m:val="p"/>
              </m:rPr>
              <w:rPr>
                <w:rFonts w:ascii="Cambria Math" w:hAnsi="Cambria Math"/>
              </w:rPr>
              <m:t>&gt;</m:t>
            </m:r>
            <m:r>
              <w:rPr>
                <w:rFonts w:ascii="Cambria Math" w:hAnsi="Cambria Math"/>
              </w:rPr>
              <m:t>x</m:t>
            </m:r>
          </m:e>
        </m:d>
      </m:oMath>
      <w:r>
        <w:t xml:space="preserve"> in log-log space, the inverse Burr can fit a quasi-concave and monotone curve, allowing it to capture both small values of </w:t>
      </w:r>
      <m:oMath>
        <m:r>
          <w:rPr>
            <w:rFonts w:ascii="Cambria Math" w:hAnsi="Cambria Math"/>
          </w:rPr>
          <m:t>x</m:t>
        </m:r>
      </m:oMath>
      <w:r>
        <w:t xml:space="preserve"> as well as ve</w:t>
      </w:r>
      <w:r>
        <w:t>ry large values in a thick-tailed distribution.</w:t>
      </w:r>
    </w:p>
    <w:p w:rsidR="002254A7" w:rsidRDefault="00667866">
      <w:pPr>
        <w:pStyle w:val="BodyText"/>
      </w:pPr>
      <w:r>
        <w:t>While Cunen, Hjort, and Nygård (2020) tout the inverse Burr as an unproblematic alternative to the power-law, it should be noted that it under-predicts the likelihood of the observed battle deaths in the most</w:t>
      </w:r>
      <w:r>
        <w:t xml:space="preserve"> extreme wars in the CoW data—a fact that is clearly visible in Figure 3. This is a point that others have raised (Braumoeller 2021), but it is premature to dismiss the inverse Burr simply for this reason, because there is one additional promised benefit o</w:t>
      </w:r>
      <w:r>
        <w:t xml:space="preserve">f the inverse Burr as opposed to the classic power-law that may off-set this limitation: its ability to model the distribution of </w:t>
      </w:r>
      <m:oMath>
        <m:r>
          <w:rPr>
            <w:rFonts w:ascii="Cambria Math" w:hAnsi="Cambria Math"/>
          </w:rPr>
          <m:t>x</m:t>
        </m:r>
      </m:oMath>
      <w:r>
        <w:t xml:space="preserve"> in a regression model framework.</w:t>
      </w:r>
    </w:p>
    <w:p w:rsidR="002254A7" w:rsidRDefault="00667866">
      <w:pPr>
        <w:pStyle w:val="BodyText"/>
      </w:pPr>
      <w:r>
        <w:t>In their study, Cunen, Hjort, and Nygård (2020) demonstrate this strength by parameterizin</w:t>
      </w:r>
      <w:r>
        <w:t xml:space="preserve">g their inverse Burr model using both a binary indicator for the time period (before or after a particular cut-point) for the </w:t>
      </w:r>
      <m:oMath>
        <m:r>
          <w:rPr>
            <w:rFonts w:ascii="Cambria Math" w:hAnsi="Cambria Math"/>
          </w:rPr>
          <m:t>μ</m:t>
        </m:r>
      </m:oMath>
      <w:r>
        <w:t xml:space="preserve"> and </w:t>
      </w:r>
      <m:oMath>
        <m:r>
          <w:rPr>
            <w:rFonts w:ascii="Cambria Math" w:hAnsi="Cambria Math"/>
          </w:rPr>
          <m:t>θ</m:t>
        </m:r>
      </m:oMath>
      <w:r>
        <w:t xml:space="preserve"> parameters, as well as a continuous covariate (the average polity score among countries fighting a war) that is part of </w:t>
      </w:r>
      <w:r>
        <w:t xml:space="preserve">the </w:t>
      </w:r>
      <m:oMath>
        <m:r>
          <w:rPr>
            <w:rFonts w:ascii="Cambria Math" w:hAnsi="Cambria Math"/>
          </w:rPr>
          <m:t>μ</m:t>
        </m:r>
      </m:oMath>
      <w:r>
        <w:t xml:space="preserve"> parameter as well. In particular, they specify that:</w:t>
      </w:r>
    </w:p>
    <w:bookmarkStart w:id="6" w:name="eq-cunenspec"/>
    <w:p w:rsidR="002254A7" w:rsidRDefault="00667866">
      <w:pPr>
        <w:pStyle w:val="BodyText"/>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L</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L</m:t>
              </m:r>
              <m:r>
                <m:rPr>
                  <m:sty m:val="p"/>
                </m:rPr>
                <w:rPr>
                  <w:rFonts w:ascii="Cambria Math" w:hAnsi="Cambria Math"/>
                </w:rPr>
                <m:t>,</m:t>
              </m:r>
              <m:r>
                <w:rPr>
                  <w:rFonts w:ascii="Cambria Math" w:hAnsi="Cambria Math"/>
                </w:rPr>
                <m:t>0</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L</m:t>
                  </m:r>
                </m:sub>
              </m:sSub>
              <m:sSub>
                <m:sSubPr>
                  <m:ctrlPr>
                    <w:rPr>
                      <w:rFonts w:ascii="Cambria Math" w:hAnsi="Cambria Math"/>
                    </w:rPr>
                  </m:ctrlPr>
                </m:sSubPr>
                <m:e>
                  <m:r>
                    <w:rPr>
                      <w:rFonts w:ascii="Cambria Math" w:hAnsi="Cambria Math"/>
                    </w:rPr>
                    <m:t>w</m:t>
                  </m:r>
                </m:e>
                <m:sub>
                  <m:r>
                    <w:rPr>
                      <w:rFonts w:ascii="Cambria Math" w:hAnsi="Cambria Math"/>
                    </w:rPr>
                    <m:t>i</m:t>
                  </m:r>
                </m:sub>
              </m:sSub>
            </m:e>
          </m:d>
          <m:r>
            <w:rPr>
              <w:rFonts w:ascii="Cambria Math" w:hAnsi="Cambria Math"/>
            </w:rPr>
            <m:t> </m:t>
          </m:r>
          <m:r>
            <m:rPr>
              <m:nor/>
            </m:rPr>
            <m:t>and</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R</m:t>
                  </m:r>
                </m:sub>
              </m:sSub>
              <m:sSub>
                <m:sSubPr>
                  <m:ctrlPr>
                    <w:rPr>
                      <w:rFonts w:ascii="Cambria Math" w:hAnsi="Cambria Math"/>
                    </w:rPr>
                  </m:ctrlPr>
                </m:sSubPr>
                <m:e>
                  <m:r>
                    <w:rPr>
                      <w:rFonts w:ascii="Cambria Math" w:hAnsi="Cambria Math"/>
                    </w:rPr>
                    <m:t>w</m:t>
                  </m:r>
                </m:e>
                <m:sub>
                  <m:r>
                    <w:rPr>
                      <w:rFonts w:ascii="Cambria Math" w:hAnsi="Cambria Math"/>
                    </w:rPr>
                    <m:t>i</m:t>
                  </m:r>
                </m:sub>
              </m:sSub>
            </m:e>
          </m:d>
          <m:r>
            <w:rPr>
              <w:rFonts w:ascii="Cambria Math" w:hAnsi="Cambria Math"/>
            </w:rPr>
            <m:t>  </m:t>
          </m:r>
          <m:d>
            <m:dPr>
              <m:ctrlPr>
                <w:rPr>
                  <w:rFonts w:ascii="Cambria Math" w:hAnsi="Cambria Math"/>
                </w:rPr>
              </m:ctrlPr>
            </m:dPr>
            <m:e>
              <m:r>
                <w:rPr>
                  <w:rFonts w:ascii="Cambria Math" w:hAnsi="Cambria Math"/>
                </w:rPr>
                <m:t>4</m:t>
              </m:r>
            </m:e>
          </m:d>
        </m:oMath>
      </m:oMathPara>
      <w:bookmarkEnd w:id="6"/>
    </w:p>
    <w:p w:rsidR="002254A7" w:rsidRDefault="00667866">
      <w:pPr>
        <w:pStyle w:val="FirstParagraph"/>
      </w:pPr>
      <w:r>
        <w:t xml:space="preserve">along with </w:t>
      </w:r>
      <m:oMath>
        <m:sSub>
          <m:sSubPr>
            <m:ctrlPr>
              <w:rPr>
                <w:rFonts w:ascii="Cambria Math" w:hAnsi="Cambria Math"/>
              </w:rPr>
            </m:ctrlPr>
          </m:sSubPr>
          <m:e>
            <m:r>
              <w:rPr>
                <w:rFonts w:ascii="Cambria Math" w:hAnsi="Cambria Math"/>
              </w:rPr>
              <m:t>θ</m:t>
            </m:r>
          </m:e>
          <m:sub>
            <m:r>
              <w:rPr>
                <w:rFonts w:ascii="Cambria Math" w:hAnsi="Cambria Math"/>
              </w:rPr>
              <m:t>L</m:t>
            </m:r>
          </m:sub>
        </m:sSub>
      </m:oMath>
      <w:r>
        <w:t xml:space="preserve">, </w:t>
      </w:r>
      <m:oMath>
        <m:sSub>
          <m:sSubPr>
            <m:ctrlPr>
              <w:rPr>
                <w:rFonts w:ascii="Cambria Math" w:hAnsi="Cambria Math"/>
              </w:rPr>
            </m:ctrlPr>
          </m:sSubPr>
          <m:e>
            <m:r>
              <w:rPr>
                <w:rFonts w:ascii="Cambria Math" w:hAnsi="Cambria Math"/>
              </w:rPr>
              <m:t>θ</m:t>
            </m:r>
          </m:e>
          <m:sub>
            <m:r>
              <w:rPr>
                <w:rFonts w:ascii="Cambria Math" w:hAnsi="Cambria Math"/>
              </w:rPr>
              <m:t>R</m:t>
            </m:r>
          </m:sub>
        </m:sSub>
      </m:oMath>
      <w:r>
        <w:t xml:space="preserve"> and a constant </w:t>
      </w:r>
      <m:oMath>
        <m:r>
          <w:rPr>
            <w:rFonts w:ascii="Cambria Math" w:hAnsi="Cambria Math"/>
          </w:rPr>
          <m:t>α</m:t>
        </m:r>
      </m:oMath>
      <w:r>
        <w:t xml:space="preserve">. The value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represents average polity scores among the countries fighting war </w:t>
      </w:r>
      <m:oMath>
        <m:r>
          <w:rPr>
            <w:rFonts w:ascii="Cambria Math" w:hAnsi="Cambria Math"/>
          </w:rPr>
          <m:t>i</m:t>
        </m:r>
      </m:oMath>
      <w:r>
        <w:t xml:space="preserve">, and the </w:t>
      </w:r>
      <m:oMath>
        <m:r>
          <w:rPr>
            <w:rFonts w:ascii="Cambria Math" w:hAnsi="Cambria Math"/>
          </w:rPr>
          <m:t>β</m:t>
        </m:r>
      </m:oMath>
      <w:r>
        <w:t xml:space="preserve"> </w:t>
      </w:r>
      <w:r>
        <w:t xml:space="preserve">parameters capture how democracy scores differently predict the central tendency </w:t>
      </w:r>
      <m:oMath>
        <m:r>
          <w:rPr>
            <w:rFonts w:ascii="Cambria Math" w:hAnsi="Cambria Math"/>
          </w:rPr>
          <m:t>μ</m:t>
        </m:r>
      </m:oMath>
      <w:r>
        <w:t xml:space="preserve"> before and after the specified cut-point.</w:t>
      </w:r>
    </w:p>
    <w:p w:rsidR="002254A7" w:rsidRDefault="00667866">
      <w:pPr>
        <w:pStyle w:val="BodyText"/>
      </w:pPr>
      <w:r>
        <w:t>The ability to incorporate covariates into the estimation of an inverse Burr model potentially off-sets its inferior performance i</w:t>
      </w:r>
      <w:r>
        <w:t xml:space="preserve">n the extreme tail of the CoW conflict series. As Cunen, Hjort, and Nygård (2020) note, their parameterized model offers a superior fit for the data relative to a basic inverse Burr model that assumes constant </w:t>
      </w:r>
      <m:oMath>
        <m:r>
          <w:rPr>
            <w:rFonts w:ascii="Cambria Math" w:hAnsi="Cambria Math"/>
          </w:rPr>
          <m:t>μ</m:t>
        </m:r>
      </m:oMath>
      <w:r>
        <w:t xml:space="preserve">, </w:t>
      </w:r>
      <m:oMath>
        <m:r>
          <w:rPr>
            <w:rFonts w:ascii="Cambria Math" w:hAnsi="Cambria Math"/>
          </w:rPr>
          <m:t>α</m:t>
        </m:r>
      </m:oMath>
      <w:r>
        <w:t xml:space="preserve">, and </w:t>
      </w:r>
      <m:oMath>
        <m:r>
          <w:rPr>
            <w:rFonts w:ascii="Cambria Math" w:hAnsi="Cambria Math"/>
          </w:rPr>
          <m:t>θ</m:t>
        </m:r>
      </m:oMath>
      <w:r>
        <w:t>.</w:t>
      </w:r>
    </w:p>
    <w:p w:rsidR="002254A7" w:rsidRDefault="00667866">
      <w:pPr>
        <w:pStyle w:val="BodyText"/>
      </w:pPr>
      <w:r>
        <w:t>The significance of this appro</w:t>
      </w:r>
      <w:r>
        <w:t>ach goes beyond providing a better fit with greater statistical precision. Cunen, Hjort, and Nygård (2020) use it to offer affirmative evidence consistent with the decline of war thesis, and they provide substantive insight into the role of democracy in ex</w:t>
      </w:r>
      <w:r>
        <w:t>plaining variation in war size. First, using an innovative change-point algorithm, Cunen, Hjort, and Nygård (2020) identify 1950 as the best fitting cut-point in the CoW series. At that cut-point, the difference in inverse Burr fits before and after are st</w:t>
      </w:r>
      <w:r>
        <w:t>atistically distinguishable, with the post-1950 data consistent with a decline in the chance of particularly large wars.</w:t>
      </w:r>
    </w:p>
    <w:p w:rsidR="002254A7" w:rsidRDefault="00667866">
      <w:pPr>
        <w:pStyle w:val="BodyText"/>
      </w:pPr>
      <w:r>
        <w:t>Second, Cunen, Hjort, and Nygård (2020) show that democracy has little correspondence with war size before 1950, but that democracy pre</w:t>
      </w:r>
      <w:r>
        <w:t xml:space="preserve">dicts smaller wars after 1950. This finding applies specifically to the central tendency </w:t>
      </w:r>
      <m:oMath>
        <m:r>
          <w:rPr>
            <w:rFonts w:ascii="Cambria Math" w:hAnsi="Cambria Math"/>
          </w:rPr>
          <m:t>μ</m:t>
        </m:r>
      </m:oMath>
      <w:r>
        <w:t>, and means that when the average democracy score among countries fighting a war increases, the scale of wars declines.</w:t>
      </w:r>
    </w:p>
    <w:p w:rsidR="002254A7" w:rsidRDefault="00667866">
      <w:pPr>
        <w:pStyle w:val="BodyText"/>
      </w:pPr>
      <w:r>
        <w:t>As interesting as Cunen et al.’s findings are</w:t>
      </w:r>
      <w:r>
        <w:t>, far more interesting is their approach, which offers conflict scholars a potentially powerful methodology for identifying potential predictors of war size. It is far harder to parameterize a power-law model to achieve the same goal.</w:t>
      </w:r>
    </w:p>
    <w:p w:rsidR="002254A7" w:rsidRDefault="00667866">
      <w:pPr>
        <w:pStyle w:val="BodyText"/>
      </w:pPr>
      <w:r>
        <w:t>This, however, is whe</w:t>
      </w:r>
      <w:r>
        <w:t>re Cunen et al.’s (2020) study ends and the contribution of this one begins. If a tool like the inverse Burr model is to have more wide-spread acceptance among conflict scholars interested in testing theories about war size, more resources and guidance are</w:t>
      </w:r>
      <w:r>
        <w:t xml:space="preserve"> required than Cunen, Hjort, and Nygård (2020) offer in their paper. While they have an online appendix and make their R code available for implementing their method, Cunen et al. offer little in the way of practical advice or a convenient user interface f</w:t>
      </w:r>
      <w:r>
        <w:t>or applied researchers.</w:t>
      </w:r>
    </w:p>
    <w:p w:rsidR="002254A7" w:rsidRDefault="00667866">
      <w:pPr>
        <w:pStyle w:val="BodyText"/>
      </w:pPr>
      <w:r>
        <w:t>The present paper is motivated by a desire to fill this gap by offering these resources to conflict scholars. The next section offers a brief primer on the inverse Burr, and the one that follows introduces a new R package and an app</w:t>
      </w:r>
      <w:r>
        <w:t>lied example for how to use the inverse Burr to study war.</w:t>
      </w:r>
    </w:p>
    <w:p w:rsidR="002254A7" w:rsidRDefault="00667866">
      <w:pPr>
        <w:pStyle w:val="Heading1"/>
      </w:pPr>
      <w:bookmarkStart w:id="7" w:name="a-brief-primer-on-the-inverse-burr"/>
      <w:bookmarkEnd w:id="2"/>
      <w:r>
        <w:t>A Brief Primer on the Inverse Burr</w:t>
      </w:r>
    </w:p>
    <w:p w:rsidR="002254A7" w:rsidRDefault="00667866">
      <w:pPr>
        <w:pStyle w:val="FirstParagraph"/>
      </w:pPr>
      <w:r>
        <w:t>Like many innovations in statistics, the inverse Burr distribution was introduced at various points in different fields, and called by different names. Kleiber (2</w:t>
      </w:r>
      <w:r>
        <w:t>008) offers a concise history, noting in particular the equivalence between the inverse Burr, as it is known in actuarial science (Kleiber and Kotz 2003; Klugman, Panjer, and Willmot 2012), and the Dagum distribution as it is known in some corners of econo</w:t>
      </w:r>
      <w:r>
        <w:t>mics where, for decades, it was mostly limited to non-English speaking journals. The genesis of the inverse Burr, or the Dagum distribution in particular, was the need to identify a better distributional model for income and wealth than either the log-norm</w:t>
      </w:r>
      <w:r>
        <w:t>al or Pareto distributions. Unsatisfied with existing options, in the 1970s Camilo Dagum (1977) proposed a three parameter distribution, which would become his namesake, that blended the Pareto distribution’s ability to handle thick-tailed data and the log</w:t>
      </w:r>
      <w:r>
        <w:t>-normal’s ability to capture an interior mode, or peak in the density function (Kleiber 2008). The flexibility of the form that became the Dagum/inverse Burr model is such that it not only can handle thick-tailed data with an interior mode, but it can also</w:t>
      </w:r>
      <w:r>
        <w:t xml:space="preserve"> capture zero-mode data (more akin to the classic power-law).</w:t>
      </w:r>
    </w:p>
    <w:p w:rsidR="002254A7" w:rsidRDefault="00667866">
      <w:pPr>
        <w:pStyle w:val="BodyText"/>
      </w:pPr>
      <w:r>
        <w:t xml:space="preserve">The impact that the three inverse Burr parameters have on the form of the density function is demonstrated in the next three figures (see </w:t>
      </w:r>
      <w:hyperlink w:anchor="eq-burrdens">
        <w:r>
          <w:rPr>
            <w:rStyle w:val="Hyperlink"/>
          </w:rPr>
          <w:t>Equation 5</w:t>
        </w:r>
      </w:hyperlink>
      <w:r>
        <w:t xml:space="preserve"> for the den</w:t>
      </w:r>
      <w:r>
        <w:t>sity function). In each, one of the parameters is changed while holding the others fixed. This helps to show how an increase in each changes the mode of the data and the thickness of the distribution, both up to the mode and after it.</w:t>
      </w:r>
    </w:p>
    <w:p w:rsidR="002254A7" w:rsidRDefault="00667866">
      <w:pPr>
        <w:pStyle w:val="BodyText"/>
      </w:pPr>
      <w:r>
        <w:t>First, consider Figur</w:t>
      </w:r>
      <w:r>
        <w:t xml:space="preserve">e 4. It shows how the density function of the inverse Burr changes for </w:t>
      </w: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w:r>
        <w:t xml:space="preserve"> where </w:t>
      </w:r>
      <m:oMath>
        <m:r>
          <w:rPr>
            <w:rFonts w:ascii="Cambria Math" w:hAnsi="Cambria Math"/>
          </w:rPr>
          <m:t>μ</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and </w:t>
      </w:r>
      <m:oMath>
        <m:r>
          <w:rPr>
            <w:rFonts w:ascii="Cambria Math" w:hAnsi="Cambria Math"/>
          </w:rPr>
          <m:t>α</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2</m:t>
        </m:r>
      </m:oMath>
      <w:r>
        <w:t xml:space="preserve">. For this particular arrangement of parameters, as </w:t>
      </w:r>
      <m:oMath>
        <m:r>
          <w:rPr>
            <w:rFonts w:ascii="Cambria Math" w:hAnsi="Cambria Math"/>
          </w:rPr>
          <m:t>μ</m:t>
        </m:r>
      </m:oMath>
      <w:r>
        <w:t xml:space="preserve"> increases, so does the mode, or peak, of the density distribution. In fact, holding the ot</w:t>
      </w:r>
      <w:r>
        <w:t xml:space="preserve">her parameters constant at 2, </w:t>
      </w:r>
      <m:oMath>
        <m:r>
          <w:rPr>
            <w:rFonts w:ascii="Cambria Math" w:hAnsi="Cambria Math"/>
          </w:rPr>
          <m:t>μ</m:t>
        </m:r>
      </m:oMath>
      <w:r>
        <w:t xml:space="preserve"> is approximately equivalent to the mode of the data.</w:t>
      </w:r>
    </w:p>
    <w:p w:rsidR="002254A7" w:rsidRDefault="00667866">
      <w:pPr>
        <w:pStyle w:val="BodyText"/>
      </w:pPr>
      <w:r>
        <w:rPr>
          <w:noProof/>
        </w:rPr>
        <w:drawing>
          <wp:inline distT="0" distB="0" distL="0" distR="0">
            <wp:extent cx="5497394" cy="3664929"/>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_figs/fig4.png"/>
                    <pic:cNvPicPr>
                      <a:picLocks noChangeAspect="1" noChangeArrowheads="1"/>
                    </pic:cNvPicPr>
                  </pic:nvPicPr>
                  <pic:blipFill>
                    <a:blip r:embed="rId10"/>
                    <a:stretch>
                      <a:fillRect/>
                    </a:stretch>
                  </pic:blipFill>
                  <pic:spPr bwMode="auto">
                    <a:xfrm>
                      <a:off x="0" y="0"/>
                      <a:ext cx="5497394" cy="3664929"/>
                    </a:xfrm>
                    <a:prstGeom prst="rect">
                      <a:avLst/>
                    </a:prstGeom>
                    <a:noFill/>
                    <a:ln w="9525">
                      <a:noFill/>
                      <a:headEnd/>
                      <a:tailEnd/>
                    </a:ln>
                  </pic:spPr>
                </pic:pic>
              </a:graphicData>
            </a:graphic>
          </wp:inline>
        </w:drawing>
      </w:r>
    </w:p>
    <w:p w:rsidR="002254A7" w:rsidRDefault="00667866">
      <w:pPr>
        <w:pStyle w:val="BodyText"/>
      </w:pPr>
      <w:r>
        <w:t xml:space="preserve">Now, consider how the density function changes with </w:t>
      </w:r>
      <m:oMath>
        <m:r>
          <w:rPr>
            <w:rFonts w:ascii="Cambria Math" w:hAnsi="Cambria Math"/>
          </w:rPr>
          <m:t>α</m:t>
        </m:r>
      </m:oMath>
      <w:r>
        <w:t xml:space="preserve">. Figure 5 is like the last, but it now shows the density function holding </w:t>
      </w:r>
      <m:oMath>
        <m:r>
          <w:rPr>
            <w:rFonts w:ascii="Cambria Math" w:hAnsi="Cambria Math"/>
          </w:rPr>
          <m:t>μ</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2</m:t>
        </m:r>
      </m:oMath>
      <w:r>
        <w:t xml:space="preserve"> while </w:t>
      </w:r>
      <m:oMath>
        <m:r>
          <w:rPr>
            <w:rFonts w:ascii="Cambria Math" w:hAnsi="Cambria Math"/>
          </w:rPr>
          <m:t>α</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As </w:t>
      </w:r>
      <m:oMath>
        <m:r>
          <w:rPr>
            <w:rFonts w:ascii="Cambria Math" w:hAnsi="Cambria Math"/>
          </w:rPr>
          <m:t>α</m:t>
        </m:r>
      </m:oMath>
      <w:r>
        <w:t xml:space="preserve"> </w:t>
      </w:r>
      <w:r>
        <w:t xml:space="preserve">increases, the mode does as well, but notice that the rate of increase is smaller. Also notice that the density of the left-hand side of the distribution shows far more variation. When </w:t>
      </w:r>
      <m:oMath>
        <m:r>
          <w:rPr>
            <w:rFonts w:ascii="Cambria Math" w:hAnsi="Cambria Math"/>
          </w:rPr>
          <m:t>α</m:t>
        </m:r>
      </m:oMath>
      <w:r>
        <w:t xml:space="preserve"> is small, the left-hand side is very thick, but as </w:t>
      </w:r>
      <m:oMath>
        <m:r>
          <w:rPr>
            <w:rFonts w:ascii="Cambria Math" w:hAnsi="Cambria Math"/>
          </w:rPr>
          <m:t>α</m:t>
        </m:r>
      </m:oMath>
      <w:r>
        <w:t xml:space="preserve"> increases the </w:t>
      </w:r>
      <w:r>
        <w:t xml:space="preserve">thickness of the left-hand side shrinks to zero for small </w:t>
      </w:r>
      <m:oMath>
        <m:r>
          <w:rPr>
            <w:rFonts w:ascii="Cambria Math" w:hAnsi="Cambria Math"/>
          </w:rPr>
          <m:t>x</m:t>
        </m:r>
      </m:oMath>
      <w:r>
        <w:t xml:space="preserve">. In short, greater </w:t>
      </w:r>
      <m:oMath>
        <m:r>
          <w:rPr>
            <w:rFonts w:ascii="Cambria Math" w:hAnsi="Cambria Math"/>
          </w:rPr>
          <m:t>α</m:t>
        </m:r>
      </m:oMath>
      <w:r>
        <w:t xml:space="preserve"> means a lower chance of small events.</w:t>
      </w:r>
    </w:p>
    <w:p w:rsidR="002254A7" w:rsidRDefault="00667866">
      <w:pPr>
        <w:pStyle w:val="BodyText"/>
      </w:pPr>
      <w:r>
        <w:rPr>
          <w:noProof/>
        </w:rPr>
        <w:drawing>
          <wp:inline distT="0" distB="0" distL="0" distR="0">
            <wp:extent cx="5497394" cy="3664929"/>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_figs/fig5.png"/>
                    <pic:cNvPicPr>
                      <a:picLocks noChangeAspect="1" noChangeArrowheads="1"/>
                    </pic:cNvPicPr>
                  </pic:nvPicPr>
                  <pic:blipFill>
                    <a:blip r:embed="rId11"/>
                    <a:stretch>
                      <a:fillRect/>
                    </a:stretch>
                  </pic:blipFill>
                  <pic:spPr bwMode="auto">
                    <a:xfrm>
                      <a:off x="0" y="0"/>
                      <a:ext cx="5497394" cy="3664929"/>
                    </a:xfrm>
                    <a:prstGeom prst="rect">
                      <a:avLst/>
                    </a:prstGeom>
                    <a:noFill/>
                    <a:ln w="9525">
                      <a:noFill/>
                      <a:headEnd/>
                      <a:tailEnd/>
                    </a:ln>
                  </pic:spPr>
                </pic:pic>
              </a:graphicData>
            </a:graphic>
          </wp:inline>
        </w:drawing>
      </w:r>
    </w:p>
    <w:p w:rsidR="002254A7" w:rsidRDefault="00667866">
      <w:pPr>
        <w:pStyle w:val="BodyText"/>
      </w:pPr>
      <w:r>
        <w:t xml:space="preserve">Finally, consider </w:t>
      </w:r>
      <m:oMath>
        <m:r>
          <w:rPr>
            <w:rFonts w:ascii="Cambria Math" w:hAnsi="Cambria Math"/>
          </w:rPr>
          <m:t>θ</m:t>
        </m:r>
      </m:oMath>
      <w:r>
        <w:t xml:space="preserve">. Figure 6 shows how the density function changes holding </w:t>
      </w:r>
      <m:oMath>
        <m:r>
          <w:rPr>
            <w:rFonts w:ascii="Cambria Math" w:hAnsi="Cambria Math"/>
          </w:rPr>
          <m:t>μ</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oMath>
      <w:r>
        <w:t xml:space="preserve"> and where </w:t>
      </w:r>
      <m:oMath>
        <m:r>
          <w:rPr>
            <w:rFonts w:ascii="Cambria Math" w:hAnsi="Cambria Math"/>
          </w:rPr>
          <m:t>θ</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Notice that as </w:t>
      </w:r>
      <m:oMath>
        <m:r>
          <w:rPr>
            <w:rFonts w:ascii="Cambria Math" w:hAnsi="Cambria Math"/>
          </w:rPr>
          <m:t>θ</m:t>
        </m:r>
      </m:oMath>
      <w:r>
        <w:t xml:space="preserve"> inc</w:t>
      </w:r>
      <w:r>
        <w:t xml:space="preserve">reases a few interesting things happen. First, the mode increases, meaning the most likely event becomes larger. At the same time, for the highest </w:t>
      </w:r>
      <m:oMath>
        <m:r>
          <w:rPr>
            <w:rFonts w:ascii="Cambria Math" w:hAnsi="Cambria Math"/>
          </w:rPr>
          <m:t>θ</m:t>
        </m:r>
      </m:oMath>
      <w:r>
        <w:t xml:space="preserve"> the thickness of the right-hand side shrinks, meaning that the chances of very large events goes down. The</w:t>
      </w:r>
      <w:r>
        <w:t xml:space="preserve"> same is true for the left-hand side of the distribution. Notice, however, that for the smallest value of </w:t>
      </w:r>
      <m:oMath>
        <m:r>
          <w:rPr>
            <w:rFonts w:ascii="Cambria Math" w:hAnsi="Cambria Math"/>
          </w:rPr>
          <m:t>θ</m:t>
        </m:r>
      </m:oMath>
      <w:r>
        <w:t xml:space="preserve">, not only does the mode approach 0, the distribution actually lacks an interior mode. The density at </w:t>
      </w:r>
      <m:oMath>
        <m:r>
          <w:rPr>
            <w:rFonts w:ascii="Cambria Math" w:hAnsi="Cambria Math"/>
          </w:rPr>
          <m:t>x</m:t>
        </m:r>
        <m:r>
          <m:rPr>
            <m:sty m:val="p"/>
          </m:rPr>
          <w:rPr>
            <w:rFonts w:ascii="Cambria Math" w:hAnsi="Cambria Math"/>
          </w:rPr>
          <m:t>=</m:t>
        </m:r>
        <m:r>
          <w:rPr>
            <w:rFonts w:ascii="Cambria Math" w:hAnsi="Cambria Math"/>
          </w:rPr>
          <m:t>0</m:t>
        </m:r>
      </m:oMath>
      <w:r>
        <w:t xml:space="preserve"> is </w:t>
      </w:r>
      <m:oMath>
        <m:r>
          <m:rPr>
            <m:sty m:val="p"/>
          </m:rPr>
          <w:rPr>
            <w:rFonts w:ascii="Cambria Math" w:hAnsi="Cambria Math"/>
          </w:rPr>
          <m:t>∞</m:t>
        </m:r>
      </m:oMath>
      <w:r>
        <w:t xml:space="preserve">. Further, the right-hand side has a </w:t>
      </w:r>
      <w:r>
        <w:t xml:space="preserve">much thicker tail, meaning the likelihood of very large </w:t>
      </w:r>
      <m:oMath>
        <m:r>
          <w:rPr>
            <w:rFonts w:ascii="Cambria Math" w:hAnsi="Cambria Math"/>
          </w:rPr>
          <m:t>x</m:t>
        </m:r>
      </m:oMath>
      <w:r>
        <w:t xml:space="preserve"> is also higher. This behavior shows that the inverse Burr is capable of capturing not just power-law behavior in the extreme tail, but also across an entire variable’s distribution.</w:t>
      </w:r>
    </w:p>
    <w:p w:rsidR="002254A7" w:rsidRDefault="00667866">
      <w:pPr>
        <w:pStyle w:val="BodyText"/>
      </w:pPr>
      <w:r>
        <w:rPr>
          <w:noProof/>
        </w:rPr>
        <w:drawing>
          <wp:inline distT="0" distB="0" distL="0" distR="0">
            <wp:extent cx="5497394" cy="3664929"/>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_figs/fig6.png"/>
                    <pic:cNvPicPr>
                      <a:picLocks noChangeAspect="1" noChangeArrowheads="1"/>
                    </pic:cNvPicPr>
                  </pic:nvPicPr>
                  <pic:blipFill>
                    <a:blip r:embed="rId12"/>
                    <a:stretch>
                      <a:fillRect/>
                    </a:stretch>
                  </pic:blipFill>
                  <pic:spPr bwMode="auto">
                    <a:xfrm>
                      <a:off x="0" y="0"/>
                      <a:ext cx="5497394" cy="3664929"/>
                    </a:xfrm>
                    <a:prstGeom prst="rect">
                      <a:avLst/>
                    </a:prstGeom>
                    <a:noFill/>
                    <a:ln w="9525">
                      <a:noFill/>
                      <a:headEnd/>
                      <a:tailEnd/>
                    </a:ln>
                  </pic:spPr>
                </pic:pic>
              </a:graphicData>
            </a:graphic>
          </wp:inline>
        </w:drawing>
      </w:r>
    </w:p>
    <w:p w:rsidR="002254A7" w:rsidRDefault="00667866">
      <w:pPr>
        <w:pStyle w:val="BodyText"/>
      </w:pPr>
      <w:r>
        <w:t xml:space="preserve">These three examples do not begin to scratch the surface of the inverse Burr’s flexibility, but they do offer a sample of what the three parameters of the model imply for data. An increase to the scale parameter </w:t>
      </w:r>
      <m:oMath>
        <m:r>
          <w:rPr>
            <w:rFonts w:ascii="Cambria Math" w:hAnsi="Cambria Math"/>
          </w:rPr>
          <m:t>μ</m:t>
        </m:r>
      </m:oMath>
      <w:r>
        <w:t xml:space="preserve"> increases the mode of the data, an increa</w:t>
      </w:r>
      <w:r>
        <w:t xml:space="preserve">se to the </w:t>
      </w:r>
      <m:oMath>
        <m:r>
          <w:rPr>
            <w:rFonts w:ascii="Cambria Math" w:hAnsi="Cambria Math"/>
          </w:rPr>
          <m:t>α</m:t>
        </m:r>
      </m:oMath>
      <w:r>
        <w:t xml:space="preserve"> parameter increases both the mode and shrinks the lower tail of the data, and an increase to </w:t>
      </w:r>
      <m:oMath>
        <m:r>
          <w:rPr>
            <w:rFonts w:ascii="Cambria Math" w:hAnsi="Cambria Math"/>
          </w:rPr>
          <m:t>θ</m:t>
        </m:r>
      </m:oMath>
      <w:r>
        <w:t xml:space="preserve"> increases the mode and shrinks the lower and upper tails of the data. This combination gives the inverse Burr a high degree of built-in flexibility</w:t>
      </w:r>
      <w:r>
        <w:t xml:space="preserve">, which is part of the rationale Cunen, Hjort, and Nygård (2020) offer for preferring it to the classic power-law for studying war. If a further set of examples were considered, one would quickly realize that the clean delineation between these parameters </w:t>
      </w:r>
      <w:r>
        <w:t>and the shape of the distribution has exceptions due to the non-linear specification of the model.</w:t>
      </w:r>
    </w:p>
    <w:p w:rsidR="002254A7" w:rsidRDefault="00667866">
      <w:pPr>
        <w:pStyle w:val="BodyText"/>
      </w:pPr>
      <w:r>
        <w:t>This flexible combination demonstrates that modeling data using the inverse Burr requires attention to more than just the central tendency of the data. Camil</w:t>
      </w:r>
      <w:r>
        <w:t xml:space="preserve"> Dagum’s goal in producing the functionally equivalent Dagum distribution was to provide an appropriate fit for the whole of a distribution. He wanted to explain not just the position of the mode, but also the density of observations leading up to and foll</w:t>
      </w:r>
      <w:r>
        <w:t>owing it.</w:t>
      </w:r>
    </w:p>
    <w:p w:rsidR="002254A7" w:rsidRDefault="00667866">
      <w:pPr>
        <w:pStyle w:val="BodyText"/>
      </w:pPr>
      <w:r>
        <w:t>As a consequence, parameterizing the inverse Burr with covariates requires paying close attention to how the model is specified and, then, to how its results are interpreted. Such a goal is more comprehensive than is the norm in political science</w:t>
      </w:r>
      <w:r>
        <w:t>. It also has the potential to be somewhat confusing for those new to this approach.</w:t>
      </w:r>
    </w:p>
    <w:p w:rsidR="002254A7" w:rsidRDefault="00667866">
      <w:pPr>
        <w:pStyle w:val="BodyText"/>
      </w:pPr>
      <w:r>
        <w:t xml:space="preserve">A convenient set of tools and recommendations on how to use them is therefore needed. The next section introduces a new R package called </w:t>
      </w:r>
      <w:r>
        <w:rPr>
          <w:rStyle w:val="VerbatimChar"/>
        </w:rPr>
        <w:t>{actuwar}</w:t>
      </w:r>
      <w:r>
        <w:t xml:space="preserve"> that provides these tool</w:t>
      </w:r>
      <w:r>
        <w:t>s, and it demonstrates how to use them to summarize and draw inferences from an inverse Burr model by analyzing battle deaths from the CoW conflict series (Sarkees and Wayman 2010).</w:t>
      </w:r>
    </w:p>
    <w:p w:rsidR="002254A7" w:rsidRDefault="00667866">
      <w:pPr>
        <w:pStyle w:val="Heading1"/>
      </w:pPr>
      <w:bookmarkStart w:id="8" w:name="introducing-actuwar"/>
      <w:bookmarkEnd w:id="7"/>
      <w:r>
        <w:t xml:space="preserve">Introducing </w:t>
      </w:r>
      <w:r>
        <w:rPr>
          <w:rStyle w:val="VerbatimChar"/>
        </w:rPr>
        <w:t>{actuwar}</w:t>
      </w:r>
    </w:p>
    <w:p w:rsidR="002254A7" w:rsidRDefault="00667866">
      <w:pPr>
        <w:pStyle w:val="FirstParagraph"/>
      </w:pPr>
      <w:r>
        <w:t xml:space="preserve">This section offers an applied example of using the </w:t>
      </w:r>
      <w:r>
        <w:t xml:space="preserve">inverse Burr to study war, and it introduces an R package called </w:t>
      </w:r>
      <w:r>
        <w:rPr>
          <w:rStyle w:val="VerbatimChar"/>
        </w:rPr>
        <w:t>{actuwar}</w:t>
      </w:r>
      <w:r>
        <w:t xml:space="preserve"> that allows users to estimate an inverse Burr regression model with a variety of covariates. The following sub-sections cover the basics of installation, model specification, and an</w:t>
      </w:r>
      <w:r>
        <w:t>alysis of results. Some words of warning are also included.</w:t>
      </w:r>
    </w:p>
    <w:p w:rsidR="002254A7" w:rsidRDefault="00667866">
      <w:pPr>
        <w:pStyle w:val="BodyText"/>
      </w:pPr>
      <w:r>
        <w:t>Note that the results presented in this section are mainly for illustrative purposes. Some interesting findings are discussed, but inferences drawn about war size should be interpreted with all du</w:t>
      </w:r>
      <w:r>
        <w:t>e caution.</w:t>
      </w:r>
    </w:p>
    <w:p w:rsidR="002254A7" w:rsidRDefault="00667866">
      <w:pPr>
        <w:pStyle w:val="Heading2"/>
      </w:pPr>
      <w:bookmarkStart w:id="9" w:name="X1a3d28c5a9faffb8dff379c2b3f224d1835d581"/>
      <w:r>
        <w:t>Formal Specification and Details about Estimation</w:t>
      </w:r>
    </w:p>
    <w:p w:rsidR="002254A7" w:rsidRDefault="00667866">
      <w:pPr>
        <w:pStyle w:val="FirstParagraph"/>
      </w:pPr>
      <w:r>
        <w:t>As noted before, the inverse Burr has three parameters, each of which can be specified as a function of covariates or left as a constant. Modeling these parameters can be done by applying a non-l</w:t>
      </w:r>
      <w:r>
        <w:t>inear transformation to a linear weighted sum of covariates, as with other generalized linear models. Cunen, Hjort, and Nygård (2020), for example, use the exponent, which is also the approach taken here. Each of the inverse Burr parameters is strictly pos</w:t>
      </w:r>
      <w:r>
        <w:t>itive, and using the exponent preserves this quality regardless of the values generated by the linear sum of model covariates.</w:t>
      </w:r>
    </w:p>
    <w:p w:rsidR="002254A7" w:rsidRDefault="00667866">
      <w:pPr>
        <w:pStyle w:val="BodyText"/>
      </w:pPr>
      <w:r>
        <w:t xml:space="preserve">Deviating somewhat from Cunen, Hjort, and Nygård (2020), a convenient way to express the specification of each of the parameters </w:t>
      </w:r>
      <w:r>
        <w:t xml:space="preserve">is as follows. For an inverse Burr model fit to an outcome variable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let the density distribution for this function be given as:</w:t>
      </w:r>
    </w:p>
    <w:bookmarkStart w:id="10" w:name="eq-burrdens"/>
    <w:p w:rsidR="002254A7" w:rsidRDefault="00667866">
      <w:pPr>
        <w:pStyle w:val="BodyText"/>
      </w:pPr>
      <m:oMathPara>
        <m:oMathParaPr>
          <m:jc m:val="center"/>
        </m:oMathParaPr>
        <m:oMath>
          <m:sSup>
            <m:sSupPr>
              <m:ctrlPr>
                <w:rPr>
                  <w:rFonts w:ascii="Cambria Math" w:hAnsi="Cambria Math"/>
                </w:rPr>
              </m:ctrlPr>
            </m:sSupPr>
            <m:e>
              <m:r>
                <m:rPr>
                  <m:nor/>
                </m:rPr>
                <m:t>Burr</m:t>
              </m:r>
            </m:e>
            <m:sup>
              <m:r>
                <m:rPr>
                  <m:sty m:val="p"/>
                </m:rPr>
                <w:rPr>
                  <w:rFonts w:ascii="Cambria Math" w:hAnsi="Cambria Math"/>
                </w:rPr>
                <m:t>-</m:t>
              </m:r>
              <m:r>
                <w:rPr>
                  <w:rFonts w:ascii="Cambria Math" w:hAnsi="Cambria Math"/>
                </w:rPr>
                <m:t>1</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θ</m:t>
                  </m:r>
                </m:e>
                <m:sub>
                  <m:r>
                    <w:rPr>
                      <w:rFonts w:ascii="Cambria Math" w:hAnsi="Cambria Math"/>
                    </w:rPr>
                    <m:t>i</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e>
                  </m:d>
                </m:e>
                <m:sup>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θ</m:t>
                      </m:r>
                    </m:e>
                    <m:sub>
                      <m:r>
                        <w:rPr>
                          <w:rFonts w:ascii="Cambria Math" w:hAnsi="Cambria Math"/>
                        </w:rPr>
                        <m:t>i</m:t>
                      </m:r>
                    </m:sub>
                  </m:sSub>
                </m:sup>
              </m:sSup>
            </m:num>
            <m:den>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e>
                          </m:d>
                        </m:e>
                        <m:sup>
                          <m:sSub>
                            <m:sSubPr>
                              <m:ctrlPr>
                                <w:rPr>
                                  <w:rFonts w:ascii="Cambria Math" w:hAnsi="Cambria Math"/>
                                </w:rPr>
                              </m:ctrlPr>
                            </m:sSubPr>
                            <m:e>
                              <m:r>
                                <w:rPr>
                                  <w:rFonts w:ascii="Cambria Math" w:hAnsi="Cambria Math"/>
                                </w:rPr>
                                <m:t>θ</m:t>
                              </m:r>
                            </m:e>
                            <m:sub>
                              <m:r>
                                <w:rPr>
                                  <w:rFonts w:ascii="Cambria Math" w:hAnsi="Cambria Math"/>
                                </w:rPr>
                                <m:t>i</m:t>
                              </m:r>
                            </m:sub>
                          </m:sSub>
                        </m:sup>
                      </m:sSup>
                    </m:e>
                  </m:d>
                </m:e>
                <m:sup>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1</m:t>
                  </m:r>
                </m:sup>
              </m:sSup>
            </m:den>
          </m:f>
          <m:r>
            <w:rPr>
              <w:rFonts w:ascii="Cambria Math" w:hAnsi="Cambria Math"/>
            </w:rPr>
            <m:t>  </m:t>
          </m:r>
          <m:d>
            <m:dPr>
              <m:ctrlPr>
                <w:rPr>
                  <w:rFonts w:ascii="Cambria Math" w:hAnsi="Cambria Math"/>
                </w:rPr>
              </m:ctrlPr>
            </m:dPr>
            <m:e>
              <m:r>
                <w:rPr>
                  <w:rFonts w:ascii="Cambria Math" w:hAnsi="Cambria Math"/>
                </w:rPr>
                <m:t>5</m:t>
              </m:r>
            </m:e>
          </m:d>
        </m:oMath>
      </m:oMathPara>
      <w:bookmarkEnd w:id="10"/>
    </w:p>
    <w:p w:rsidR="002254A7" w:rsidRDefault="00667866">
      <w:pPr>
        <w:pStyle w:val="FirstParagraph"/>
      </w:pPr>
      <w:r>
        <w:t>where each of the parameters is specified as the exponent of a weighted sum of model covariates:</w:t>
      </w:r>
    </w:p>
    <w:bookmarkStart w:id="11" w:name="eq-paramspecs"/>
    <w:p w:rsidR="002254A7" w:rsidRDefault="00667866">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μ</m:t>
                    </m:r>
                  </m:e>
                  <m:sub>
                    <m:r>
                      <w:rPr>
                        <w:rFonts w:ascii="Cambria Math" w:hAnsi="Cambria Math"/>
                      </w:rPr>
                      <m:t>i</m:t>
                    </m:r>
                  </m:sub>
                </m:sSub>
              </m:e>
              <m:e>
                <m:r>
                  <m:rPr>
                    <m:sty m:val="p"/>
                  </m:rPr>
                  <w:rPr>
                    <w:rFonts w:ascii="Cambria Math" w:hAnsi="Cambria Math"/>
                  </w:rPr>
                  <m:t>=exp</m:t>
                </m:r>
                <m:d>
                  <m:dPr>
                    <m:ctrlPr>
                      <w:rPr>
                        <w:rFonts w:ascii="Cambria Math" w:hAnsi="Cambria Math"/>
                      </w:rPr>
                    </m:ctrlPr>
                  </m:dPr>
                  <m:e>
                    <m:r>
                      <m:rPr>
                        <m:sty m:val="b"/>
                      </m:rPr>
                      <w:rPr>
                        <w:rFonts w:ascii="Cambria Math" w:hAnsi="Cambria Math"/>
                      </w:rPr>
                      <m:t>W</m:t>
                    </m:r>
                    <m:r>
                      <m:rPr>
                        <m:sty m:val="p"/>
                      </m:rPr>
                      <w:rPr>
                        <w:rFonts w:ascii="Cambria Math" w:hAnsi="Cambria Math"/>
                      </w:rPr>
                      <m:t>'</m:t>
                    </m:r>
                    <m:r>
                      <m:rPr>
                        <m:sty m:val="b"/>
                      </m:rPr>
                      <w:rPr>
                        <w:rFonts w:ascii="Cambria Math" w:hAnsi="Cambria Math"/>
                      </w:rPr>
                      <m:t>β</m:t>
                    </m:r>
                  </m:e>
                </m:d>
              </m:e>
            </m:mr>
            <m:mr>
              <m:e>
                <m:sSub>
                  <m:sSubPr>
                    <m:ctrlPr>
                      <w:rPr>
                        <w:rFonts w:ascii="Cambria Math" w:hAnsi="Cambria Math"/>
                      </w:rPr>
                    </m:ctrlPr>
                  </m:sSubPr>
                  <m:e>
                    <m:r>
                      <w:rPr>
                        <w:rFonts w:ascii="Cambria Math" w:hAnsi="Cambria Math"/>
                      </w:rPr>
                      <m:t>α</m:t>
                    </m:r>
                  </m:e>
                  <m:sub>
                    <m:r>
                      <w:rPr>
                        <w:rFonts w:ascii="Cambria Math" w:hAnsi="Cambria Math"/>
                      </w:rPr>
                      <m:t>i</m:t>
                    </m:r>
                  </m:sub>
                </m:sSub>
              </m:e>
              <m:e>
                <m:r>
                  <m:rPr>
                    <m:sty m:val="p"/>
                  </m:rPr>
                  <w:rPr>
                    <w:rFonts w:ascii="Cambria Math" w:hAnsi="Cambria Math"/>
                  </w:rPr>
                  <m:t>=exp</m:t>
                </m:r>
                <m:d>
                  <m:dPr>
                    <m:ctrlPr>
                      <w:rPr>
                        <w:rFonts w:ascii="Cambria Math" w:hAnsi="Cambria Math"/>
                      </w:rPr>
                    </m:ctrlPr>
                  </m:dPr>
                  <m:e>
                    <m:r>
                      <m:rPr>
                        <m:sty m:val="b"/>
                      </m:rPr>
                      <w:rPr>
                        <w:rFonts w:ascii="Cambria Math" w:hAnsi="Cambria Math"/>
                      </w:rPr>
                      <m:t>Y</m:t>
                    </m:r>
                    <m:r>
                      <m:rPr>
                        <m:sty m:val="p"/>
                      </m:rPr>
                      <w:rPr>
                        <w:rFonts w:ascii="Cambria Math" w:hAnsi="Cambria Math"/>
                      </w:rPr>
                      <m:t>'</m:t>
                    </m:r>
                    <m:r>
                      <m:rPr>
                        <m:sty m:val="b"/>
                      </m:rPr>
                      <w:rPr>
                        <w:rFonts w:ascii="Cambria Math" w:hAnsi="Cambria Math"/>
                      </w:rPr>
                      <m:t>δ</m:t>
                    </m:r>
                  </m:e>
                </m:d>
              </m:e>
            </m:mr>
            <m:mr>
              <m:e>
                <m:sSub>
                  <m:sSubPr>
                    <m:ctrlPr>
                      <w:rPr>
                        <w:rFonts w:ascii="Cambria Math" w:hAnsi="Cambria Math"/>
                      </w:rPr>
                    </m:ctrlPr>
                  </m:sSubPr>
                  <m:e>
                    <m:r>
                      <w:rPr>
                        <w:rFonts w:ascii="Cambria Math" w:hAnsi="Cambria Math"/>
                      </w:rPr>
                      <m:t>θ</m:t>
                    </m:r>
                  </m:e>
                  <m:sub>
                    <m:r>
                      <w:rPr>
                        <w:rFonts w:ascii="Cambria Math" w:hAnsi="Cambria Math"/>
                      </w:rPr>
                      <m:t>i</m:t>
                    </m:r>
                  </m:sub>
                </m:sSub>
              </m:e>
              <m:e>
                <m:r>
                  <m:rPr>
                    <m:sty m:val="p"/>
                  </m:rPr>
                  <w:rPr>
                    <w:rFonts w:ascii="Cambria Math" w:hAnsi="Cambria Math"/>
                  </w:rPr>
                  <m:t>=exp</m:t>
                </m:r>
                <m:d>
                  <m:dPr>
                    <m:ctrlPr>
                      <w:rPr>
                        <w:rFonts w:ascii="Cambria Math" w:hAnsi="Cambria Math"/>
                      </w:rPr>
                    </m:ctrlPr>
                  </m:dPr>
                  <m:e>
                    <m:r>
                      <m:rPr>
                        <m:sty m:val="b"/>
                      </m:rPr>
                      <w:rPr>
                        <w:rFonts w:ascii="Cambria Math" w:hAnsi="Cambria Math"/>
                      </w:rPr>
                      <m:t>Z</m:t>
                    </m:r>
                    <m:r>
                      <m:rPr>
                        <m:sty m:val="p"/>
                      </m:rPr>
                      <w:rPr>
                        <w:rFonts w:ascii="Cambria Math" w:hAnsi="Cambria Math"/>
                      </w:rPr>
                      <m:t>'</m:t>
                    </m:r>
                    <m:r>
                      <m:rPr>
                        <m:sty m:val="b"/>
                      </m:rPr>
                      <w:rPr>
                        <w:rFonts w:ascii="Cambria Math" w:hAnsi="Cambria Math"/>
                      </w:rPr>
                      <m:t>γ</m:t>
                    </m:r>
                  </m:e>
                </m:d>
              </m:e>
            </m:mr>
          </m:m>
          <m:r>
            <w:rPr>
              <w:rFonts w:ascii="Cambria Math" w:hAnsi="Cambria Math"/>
            </w:rPr>
            <m:t>  </m:t>
          </m:r>
          <m:d>
            <m:dPr>
              <m:ctrlPr>
                <w:rPr>
                  <w:rFonts w:ascii="Cambria Math" w:hAnsi="Cambria Math"/>
                </w:rPr>
              </m:ctrlPr>
            </m:dPr>
            <m:e>
              <m:r>
                <w:rPr>
                  <w:rFonts w:ascii="Cambria Math" w:hAnsi="Cambria Math"/>
                </w:rPr>
                <m:t>6</m:t>
              </m:r>
            </m:e>
          </m:d>
        </m:oMath>
      </m:oMathPara>
      <w:bookmarkEnd w:id="11"/>
    </w:p>
    <w:p w:rsidR="002254A7" w:rsidRDefault="00667866">
      <w:pPr>
        <w:pStyle w:val="FirstParagraph"/>
      </w:pPr>
      <w:r>
        <w:t>It is possible for the sets of covariates used to model these parameters to be identical, or completely different. T</w:t>
      </w:r>
      <w:r>
        <w:t>hese covariates may be either discrete or continuous, and each includes a constant.</w:t>
      </w:r>
    </w:p>
    <w:p w:rsidR="002254A7" w:rsidRDefault="00667866">
      <w:pPr>
        <w:pStyle w:val="BodyText"/>
      </w:pPr>
      <w:r>
        <w:t>Consider a scenario where a researcher wants to condition the shape of the inverse Burr distribution for war deaths in the CoW conflict series on the basis of three factors</w:t>
      </w:r>
      <w:r>
        <w:t>: an indicator for wars before 1950, the average of belligerent country polity scores at the time the war started, and the natural log of the pooled belligerent country populations at the time the war started.</w:t>
      </w:r>
      <w:r>
        <w:rPr>
          <w:rStyle w:val="FootnoteReference"/>
        </w:rPr>
        <w:footnoteReference w:id="1"/>
      </w:r>
      <w:r>
        <w:t xml:space="preserve"> If one wanted to allow all three inverse Burr</w:t>
      </w:r>
      <w:r>
        <w:t xml:space="preserve"> parameters to vary as a function of these factors, they might write:</w:t>
      </w:r>
    </w:p>
    <w:bookmarkStart w:id="12" w:name="eq-warspec"/>
    <w:p w:rsidR="002254A7" w:rsidRDefault="00667866">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μ</m:t>
                    </m:r>
                  </m:e>
                  <m:sub>
                    <m:r>
                      <w:rPr>
                        <w:rFonts w:ascii="Cambria Math" w:hAnsi="Cambria Math"/>
                      </w:rPr>
                      <m:t>i</m:t>
                    </m:r>
                  </m:sub>
                </m:sSub>
              </m:e>
              <m:e>
                <m:r>
                  <m:rPr>
                    <m:sty m:val="p"/>
                  </m:rPr>
                  <w:rPr>
                    <w:rFonts w:ascii="Cambria Math" w:hAnsi="Cambria Math"/>
                  </w:rPr>
                  <m:t>=exp</m:t>
                </m:r>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m:rPr>
                            <m:nor/>
                          </m:rPr>
                          <m:t>pre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m:rPr>
                            <m:nor/>
                          </m:rPr>
                          <m:t>polity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m:rPr>
                                <m:nor/>
                              </m:rPr>
                              <m:t>pop</m:t>
                            </m:r>
                          </m:e>
                          <m:sub>
                            <m:r>
                              <w:rPr>
                                <w:rFonts w:ascii="Cambria Math" w:hAnsi="Cambria Math"/>
                              </w:rPr>
                              <m:t>i</m:t>
                            </m:r>
                          </m:sub>
                        </m:sSub>
                      </m:e>
                    </m:d>
                  </m:e>
                </m:d>
              </m:e>
            </m:mr>
            <m:mr>
              <m:e>
                <m:sSub>
                  <m:sSubPr>
                    <m:ctrlPr>
                      <w:rPr>
                        <w:rFonts w:ascii="Cambria Math" w:hAnsi="Cambria Math"/>
                      </w:rPr>
                    </m:ctrlPr>
                  </m:sSubPr>
                  <m:e>
                    <m:r>
                      <w:rPr>
                        <w:rFonts w:ascii="Cambria Math" w:hAnsi="Cambria Math"/>
                      </w:rPr>
                      <m:t>α</m:t>
                    </m:r>
                  </m:e>
                  <m:sub>
                    <m:r>
                      <w:rPr>
                        <w:rFonts w:ascii="Cambria Math" w:hAnsi="Cambria Math"/>
                      </w:rPr>
                      <m:t>i</m:t>
                    </m:r>
                  </m:sub>
                </m:sSub>
              </m:e>
              <m:e>
                <m:r>
                  <m:rPr>
                    <m:sty m:val="p"/>
                  </m:rPr>
                  <w:rPr>
                    <w:rFonts w:ascii="Cambria Math" w:hAnsi="Cambria Math"/>
                  </w:rPr>
                  <m:t>=exp</m:t>
                </m:r>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1</m:t>
                        </m:r>
                      </m:sub>
                    </m:sSub>
                    <m:sSub>
                      <m:sSubPr>
                        <m:ctrlPr>
                          <w:rPr>
                            <w:rFonts w:ascii="Cambria Math" w:hAnsi="Cambria Math"/>
                          </w:rPr>
                        </m:ctrlPr>
                      </m:sSubPr>
                      <m:e>
                        <m:r>
                          <m:rPr>
                            <m:nor/>
                          </m:rPr>
                          <m:t>pre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2</m:t>
                        </m:r>
                      </m:sub>
                    </m:sSub>
                    <m:sSub>
                      <m:sSubPr>
                        <m:ctrlPr>
                          <w:rPr>
                            <w:rFonts w:ascii="Cambria Math" w:hAnsi="Cambria Math"/>
                          </w:rPr>
                        </m:ctrlPr>
                      </m:sSubPr>
                      <m:e>
                        <m:r>
                          <m:rPr>
                            <m:nor/>
                          </m:rPr>
                          <m:t>polity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3</m:t>
                        </m:r>
                      </m:sub>
                    </m:sSub>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m:rPr>
                                <m:nor/>
                              </m:rPr>
                              <m:t>pop</m:t>
                            </m:r>
                          </m:e>
                          <m:sub>
                            <m:r>
                              <w:rPr>
                                <w:rFonts w:ascii="Cambria Math" w:hAnsi="Cambria Math"/>
                              </w:rPr>
                              <m:t>i</m:t>
                            </m:r>
                          </m:sub>
                        </m:sSub>
                      </m:e>
                    </m:d>
                  </m:e>
                </m:d>
              </m:e>
            </m:mr>
            <m:mr>
              <m:e>
                <m:sSub>
                  <m:sSubPr>
                    <m:ctrlPr>
                      <w:rPr>
                        <w:rFonts w:ascii="Cambria Math" w:hAnsi="Cambria Math"/>
                      </w:rPr>
                    </m:ctrlPr>
                  </m:sSubPr>
                  <m:e>
                    <m:r>
                      <w:rPr>
                        <w:rFonts w:ascii="Cambria Math" w:hAnsi="Cambria Math"/>
                      </w:rPr>
                      <m:t>θ</m:t>
                    </m:r>
                  </m:e>
                  <m:sub>
                    <m:r>
                      <w:rPr>
                        <w:rFonts w:ascii="Cambria Math" w:hAnsi="Cambria Math"/>
                      </w:rPr>
                      <m:t>i</m:t>
                    </m:r>
                  </m:sub>
                </m:sSub>
              </m:e>
              <m:e>
                <m:r>
                  <m:rPr>
                    <m:sty m:val="p"/>
                  </m:rPr>
                  <w:rPr>
                    <w:rFonts w:ascii="Cambria Math" w:hAnsi="Cambria Math"/>
                  </w:rPr>
                  <m:t>=exp</m:t>
                </m:r>
                <m:d>
                  <m:dPr>
                    <m:begChr m:val="["/>
                    <m:endChr m:val="]"/>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m:rPr>
                            <m:nor/>
                          </m:rPr>
                          <m:t>pre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sSub>
                      <m:sSubPr>
                        <m:ctrlPr>
                          <w:rPr>
                            <w:rFonts w:ascii="Cambria Math" w:hAnsi="Cambria Math"/>
                          </w:rPr>
                        </m:ctrlPr>
                      </m:sSubPr>
                      <m:e>
                        <m:r>
                          <m:rPr>
                            <m:nor/>
                          </m:rPr>
                          <m:t>polity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3</m:t>
                        </m:r>
                      </m:sub>
                    </m:sSub>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m:rPr>
                                <m:nor/>
                              </m:rPr>
                              <m:t>pop</m:t>
                            </m:r>
                          </m:e>
                          <m:sub>
                            <m:r>
                              <w:rPr>
                                <w:rFonts w:ascii="Cambria Math" w:hAnsi="Cambria Math"/>
                              </w:rPr>
                              <m:t>i</m:t>
                            </m:r>
                          </m:sub>
                        </m:sSub>
                      </m:e>
                    </m:d>
                  </m:e>
                </m:d>
              </m:e>
            </m:mr>
          </m:m>
          <m:r>
            <w:rPr>
              <w:rFonts w:ascii="Cambria Math" w:hAnsi="Cambria Math"/>
            </w:rPr>
            <m:t>  </m:t>
          </m:r>
          <m:d>
            <m:dPr>
              <m:ctrlPr>
                <w:rPr>
                  <w:rFonts w:ascii="Cambria Math" w:hAnsi="Cambria Math"/>
                </w:rPr>
              </m:ctrlPr>
            </m:dPr>
            <m:e>
              <m:r>
                <w:rPr>
                  <w:rFonts w:ascii="Cambria Math" w:hAnsi="Cambria Math"/>
                </w:rPr>
                <m:t>7</m:t>
              </m:r>
            </m:e>
          </m:d>
        </m:oMath>
      </m:oMathPara>
      <w:bookmarkEnd w:id="12"/>
    </w:p>
    <w:p w:rsidR="002254A7" w:rsidRDefault="00667866">
      <w:pPr>
        <w:pStyle w:val="FirstParagraph"/>
      </w:pPr>
      <w:r>
        <w:t xml:space="preserve">To then estimate the parameter-specific coefficients for each of the covariates in the inverse Burr model, maximum likelihood estimation (MLE) is used, which is the recommended approach. Given an outcome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the optimal values of </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are</w:t>
      </w:r>
      <w:r>
        <w:t xml:space="preserve"> those that maximize (expressed in log-form):</w:t>
      </w:r>
    </w:p>
    <w:p w:rsidR="002254A7" w:rsidRDefault="00667866">
      <w:pPr>
        <w:pStyle w:val="BodyText"/>
      </w:pPr>
      <w:bookmarkStart w:id="13" w:name="eq-mle"/>
      <m:oMathPara>
        <m:oMathParaPr>
          <m:jc m:val="center"/>
        </m:oMathParaPr>
        <m:oMath>
          <m:r>
            <w:rPr>
              <w:rFonts w:ascii="Cambria Math" w:hAnsi="Cambria Math"/>
            </w:rPr>
            <m:t>L</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log</m:t>
              </m:r>
            </m:e>
          </m:nary>
          <m:d>
            <m:dPr>
              <m:begChr m:val="["/>
              <m:endChr m:val="]"/>
              <m:ctrlPr>
                <w:rPr>
                  <w:rFonts w:ascii="Cambria Math" w:hAnsi="Cambria Math"/>
                </w:rPr>
              </m:ctrlPr>
            </m:dPr>
            <m:e>
              <m:sSup>
                <m:sSupPr>
                  <m:ctrlPr>
                    <w:rPr>
                      <w:rFonts w:ascii="Cambria Math" w:hAnsi="Cambria Math"/>
                    </w:rPr>
                  </m:ctrlPr>
                </m:sSupPr>
                <m:e>
                  <m:r>
                    <m:rPr>
                      <m:nor/>
                    </m:rPr>
                    <m:t>Burr</m:t>
                  </m:r>
                </m:e>
                <m:sup>
                  <m:r>
                    <m:rPr>
                      <m:sty m:val="p"/>
                    </m:rPr>
                    <w:rPr>
                      <w:rFonts w:ascii="Cambria Math" w:hAnsi="Cambria Math"/>
                    </w:rPr>
                    <m:t>-</m:t>
                  </m:r>
                  <m:r>
                    <w:rPr>
                      <w:rFonts w:ascii="Cambria Math" w:hAnsi="Cambria Math"/>
                    </w:rPr>
                    <m:t>1</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e>
              </m:d>
            </m:e>
          </m:d>
          <m:r>
            <w:rPr>
              <w:rFonts w:ascii="Cambria Math" w:hAnsi="Cambria Math"/>
            </w:rPr>
            <m:t>  </m:t>
          </m:r>
          <m:d>
            <m:dPr>
              <m:ctrlPr>
                <w:rPr>
                  <w:rFonts w:ascii="Cambria Math" w:hAnsi="Cambria Math"/>
                </w:rPr>
              </m:ctrlPr>
            </m:dPr>
            <m:e>
              <m:r>
                <w:rPr>
                  <w:rFonts w:ascii="Cambria Math" w:hAnsi="Cambria Math"/>
                </w:rPr>
                <m:t>8</m:t>
              </m:r>
            </m:e>
          </m:d>
        </m:oMath>
      </m:oMathPara>
      <w:bookmarkEnd w:id="13"/>
    </w:p>
    <w:p w:rsidR="002254A7" w:rsidRDefault="00667866">
      <w:pPr>
        <w:pStyle w:val="FirstParagraph"/>
      </w:pPr>
      <w:r>
        <w:t>As with most MLE methods, a closed form solution does not exist, so a numerical optimizer is required. Cunen, Hjort, and Nygård (2020) use the method developed by Nelder</w:t>
      </w:r>
      <w:r>
        <w:t xml:space="preserve"> and Mead (1965), which is also the same method used by the </w:t>
      </w:r>
      <w:r>
        <w:rPr>
          <w:rStyle w:val="VerbatimChar"/>
        </w:rPr>
        <w:t>{actuwar}</w:t>
      </w:r>
      <w:r>
        <w:t xml:space="preserve"> package. Numerous technical resources exist if readers are interested in going deeper with the MLE for the inverse Burr (Dey, Al-Zahrani, and Basloom 2017).</w:t>
      </w:r>
    </w:p>
    <w:p w:rsidR="002254A7" w:rsidRDefault="00667866">
      <w:pPr>
        <w:pStyle w:val="BodyText"/>
      </w:pPr>
      <w:r>
        <w:t>For statistical inference, Cu</w:t>
      </w:r>
      <w:r>
        <w:t xml:space="preserve">nen, Hjort, and Nygård (2020) use the Hessian for standard errors. However, in numerous trials by this author, a finite Hessian was not always guaranteed. This poses an obvious problem. Therefore, inference is done using bootstrapping to ensure robust and </w:t>
      </w:r>
      <w:r>
        <w:t>consistent standard errors.</w:t>
      </w:r>
    </w:p>
    <w:p w:rsidR="002254A7" w:rsidRDefault="00667866">
      <w:pPr>
        <w:pStyle w:val="Heading2"/>
      </w:pPr>
      <w:bookmarkStart w:id="14" w:name="installation-and-how-to-use"/>
      <w:bookmarkEnd w:id="9"/>
      <w:r>
        <w:t>Installation and How to Use</w:t>
      </w:r>
    </w:p>
    <w:p w:rsidR="002254A7" w:rsidRDefault="00667866">
      <w:pPr>
        <w:pStyle w:val="FirstParagraph"/>
      </w:pPr>
      <w:r>
        <w:t xml:space="preserve">The following R code will install the latest development version of the </w:t>
      </w:r>
      <w:r>
        <w:rPr>
          <w:rStyle w:val="VerbatimChar"/>
        </w:rPr>
        <w:t>{actuwar}</w:t>
      </w:r>
      <w:r>
        <w:t xml:space="preserve"> package:</w:t>
      </w:r>
    </w:p>
    <w:p w:rsidR="002254A7" w:rsidRDefault="00667866">
      <w:pPr>
        <w:pStyle w:val="SourceCode"/>
      </w:pPr>
      <w:r>
        <w:rPr>
          <w:rStyle w:val="VerbatimChar"/>
        </w:rPr>
        <w:t>install.packages("devtools")</w:t>
      </w:r>
      <w:r>
        <w:br/>
      </w:r>
      <w:r>
        <w:rPr>
          <w:rStyle w:val="VerbatimChar"/>
        </w:rPr>
        <w:t>devtools::install_github("[omitted for anonymity]/actuwar")</w:t>
      </w:r>
    </w:p>
    <w:p w:rsidR="002254A7" w:rsidRDefault="00667866">
      <w:pPr>
        <w:pStyle w:val="FirstParagraph"/>
      </w:pPr>
      <w:r>
        <w:t xml:space="preserve">The </w:t>
      </w:r>
      <w:r>
        <w:rPr>
          <w:rStyle w:val="VerbatimChar"/>
        </w:rPr>
        <w:t>{actuwar}</w:t>
      </w:r>
      <w:r>
        <w:t xml:space="preserve"> packag</w:t>
      </w:r>
      <w:r>
        <w:t>e was designed with the end-user in mind. That means its workhorse function for estimating an inverse Burr regression model, like the one of battle deaths specified in the previous section, follows the same conventions as other regression model functions R</w:t>
      </w:r>
      <w:r>
        <w:t xml:space="preserve"> users are accustomed to, such as </w:t>
      </w:r>
      <w:r>
        <w:rPr>
          <w:rStyle w:val="VerbatimChar"/>
        </w:rPr>
        <w:t>lm()</w:t>
      </w:r>
      <w:r>
        <w:t>.</w:t>
      </w:r>
    </w:p>
    <w:p w:rsidR="002254A7" w:rsidRDefault="00667866">
      <w:pPr>
        <w:pStyle w:val="BodyText"/>
      </w:pPr>
      <w:r>
        <w:t xml:space="preserve">However, the inverse Burr is more complex than a simple linear regression where the goal is to model the conditional mean of an outcome. As already noted, the inverse Burr has three parameters, a scale and two shape </w:t>
      </w:r>
      <w:r>
        <w:t>parameters, any of which can be left constant or conditioned on covariates. The model specified in the previous section uses the same three factors to condition all three parameters. The programming interface, therefore, is a bit more involved—but only jus</w:t>
      </w:r>
      <w:r>
        <w:t>t.</w:t>
      </w:r>
    </w:p>
    <w:p w:rsidR="002254A7" w:rsidRDefault="00667866">
      <w:pPr>
        <w:pStyle w:val="BodyText"/>
      </w:pPr>
      <w:r>
        <w:t xml:space="preserve">The below snippet shows the code for estimating the inverse Burr model of battle deaths specified in the previous section. The relevant variables are in a dataset called </w:t>
      </w:r>
      <w:r>
        <w:rPr>
          <w:rStyle w:val="VerbatimChar"/>
        </w:rPr>
        <w:t>wars</w:t>
      </w:r>
      <w:r>
        <w:t xml:space="preserve">, which is made available with the </w:t>
      </w:r>
      <w:r>
        <w:rPr>
          <w:rStyle w:val="VerbatimChar"/>
        </w:rPr>
        <w:t>{actuwar}</w:t>
      </w:r>
      <w:r>
        <w:t xml:space="preserve"> package. The code works by specify</w:t>
      </w:r>
      <w:r>
        <w:t xml:space="preserve">ing the outcome variable separately and then supplying up to three right-hand side only formula objects for each of the three model parameters: </w:t>
      </w:r>
      <w:r>
        <w:rPr>
          <w:rStyle w:val="VerbatimChar"/>
        </w:rPr>
        <w:t>mu</w:t>
      </w:r>
      <w:r>
        <w:t xml:space="preserve"> for the scale (or central tendency), </w:t>
      </w:r>
      <w:r>
        <w:rPr>
          <w:rStyle w:val="VerbatimChar"/>
        </w:rPr>
        <w:t>alpha</w:t>
      </w:r>
      <w:r>
        <w:t xml:space="preserve"> for the first shape parameter, and </w:t>
      </w:r>
      <w:r>
        <w:rPr>
          <w:rStyle w:val="VerbatimChar"/>
        </w:rPr>
        <w:t>theta</w:t>
      </w:r>
      <w:r>
        <w:t xml:space="preserve"> for the second shape para</w:t>
      </w:r>
      <w:r>
        <w:t>meter. If any one or all of these parameters is not specified, then it is treated by default as a constant in model estimation.</w:t>
      </w:r>
    </w:p>
    <w:p w:rsidR="002254A7" w:rsidRDefault="00667866">
      <w:pPr>
        <w:pStyle w:val="SourceCode"/>
      </w:pPr>
      <w:r>
        <w:rPr>
          <w:rStyle w:val="VerbatimChar"/>
        </w:rPr>
        <w:t>library(actuwar)</w:t>
      </w:r>
      <w:r>
        <w:br/>
      </w:r>
      <w:r>
        <w:rPr>
          <w:rStyle w:val="VerbatimChar"/>
        </w:rPr>
        <w:t>data("wars") # use `wars` data object with {actuwar}</w:t>
      </w:r>
      <w:r>
        <w:br/>
      </w:r>
      <w:r>
        <w:br/>
      </w:r>
      <w:r>
        <w:rPr>
          <w:rStyle w:val="VerbatimChar"/>
        </w:rPr>
        <w:t>ibm(</w:t>
      </w:r>
      <w:r>
        <w:br/>
      </w:r>
      <w:r>
        <w:rPr>
          <w:rStyle w:val="VerbatimChar"/>
        </w:rPr>
        <w:t xml:space="preserve">  outcome = fat,</w:t>
      </w:r>
      <w:r>
        <w:br/>
      </w:r>
      <w:r>
        <w:rPr>
          <w:rStyle w:val="VerbatimChar"/>
        </w:rPr>
        <w:t xml:space="preserve">  mu = ~ pre1950 + pop + dem,</w:t>
      </w:r>
      <w:r>
        <w:br/>
      </w:r>
      <w:r>
        <w:rPr>
          <w:rStyle w:val="VerbatimChar"/>
        </w:rPr>
        <w:t xml:space="preserve">  alp</w:t>
      </w:r>
      <w:r>
        <w:rPr>
          <w:rStyle w:val="VerbatimChar"/>
        </w:rPr>
        <w:t>ha = ~ pre1950 + pop + dem,</w:t>
      </w:r>
      <w:r>
        <w:br/>
      </w:r>
      <w:r>
        <w:rPr>
          <w:rStyle w:val="VerbatimChar"/>
        </w:rPr>
        <w:t xml:space="preserve">  theta = ~ pre1950 + pop + dem,</w:t>
      </w:r>
      <w:r>
        <w:br/>
      </w:r>
      <w:r>
        <w:rPr>
          <w:rStyle w:val="VerbatimChar"/>
        </w:rPr>
        <w:t xml:space="preserve">  data = wars</w:t>
      </w:r>
      <w:r>
        <w:br/>
      </w:r>
      <w:r>
        <w:rPr>
          <w:rStyle w:val="VerbatimChar"/>
        </w:rPr>
        <w:t>) -&gt; model_fit</w:t>
      </w:r>
    </w:p>
    <w:p w:rsidR="002254A7" w:rsidRDefault="00667866">
      <w:pPr>
        <w:pStyle w:val="FirstParagraph"/>
      </w:pPr>
      <w:r>
        <w:t>Run time for estimating the model using the above code will vary based on a number of factors. Perhaps the most relevant stems from the fact that inference for the mo</w:t>
      </w:r>
      <w:r>
        <w:t>del is done using bootstrapping, as noted in the previous section. This means, unfortunately, that the above code may take a while to run. Depending on the size of your data, run time could last several seconds to minutes (or even longer if your data is qu</w:t>
      </w:r>
      <w:r>
        <w:t>ite large).</w:t>
      </w:r>
    </w:p>
    <w:p w:rsidR="002254A7" w:rsidRDefault="00667866">
      <w:pPr>
        <w:pStyle w:val="BodyText"/>
      </w:pPr>
      <w:r>
        <w:t xml:space="preserve">If this is an issue (particularly when troubleshooting with the model early in a research project), one can directly control the number of bootstrap iterations using the </w:t>
      </w:r>
      <w:r>
        <w:rPr>
          <w:rStyle w:val="VerbatimChar"/>
        </w:rPr>
        <w:t>its</w:t>
      </w:r>
      <w:r>
        <w:t xml:space="preserve"> command in </w:t>
      </w:r>
      <w:r>
        <w:rPr>
          <w:rStyle w:val="VerbatimChar"/>
        </w:rPr>
        <w:t>ibm()</w:t>
      </w:r>
      <w:r>
        <w:t xml:space="preserve"> </w:t>
      </w:r>
      <w:r>
        <w:t xml:space="preserve">(the default is 2,000). In addition, to provide some efficiency boosts, the </w:t>
      </w:r>
      <w:r>
        <w:rPr>
          <w:rStyle w:val="VerbatimChar"/>
        </w:rPr>
        <w:t>ibm()</w:t>
      </w:r>
      <w:r>
        <w:t xml:space="preserve"> function uses the </w:t>
      </w:r>
      <w:r>
        <w:rPr>
          <w:rStyle w:val="VerbatimChar"/>
        </w:rPr>
        <w:t>{furrr}</w:t>
      </w:r>
      <w:r>
        <w:t xml:space="preserve"> package under the hood to perform bootstrapping, which gives users the option to set up parallel processing in their R session. Depending on the num</w:t>
      </w:r>
      <w:r>
        <w:t>ber of cores on your machine, this can cut run time in half, if not more. The below code provides an example for how this can be set up:</w:t>
      </w:r>
    </w:p>
    <w:p w:rsidR="002254A7" w:rsidRDefault="00667866">
      <w:pPr>
        <w:pStyle w:val="SourceCode"/>
      </w:pPr>
      <w:r>
        <w:rPr>
          <w:rStyle w:val="VerbatimChar"/>
        </w:rPr>
        <w:t>## open {furrr} and set up for multiple sessions</w:t>
      </w:r>
      <w:r>
        <w:br/>
      </w:r>
      <w:r>
        <w:rPr>
          <w:rStyle w:val="VerbatimChar"/>
        </w:rPr>
        <w:t>library(furrr)</w:t>
      </w:r>
      <w:r>
        <w:br/>
      </w:r>
      <w:r>
        <w:rPr>
          <w:rStyle w:val="VerbatimChar"/>
        </w:rPr>
        <w:t>cores &lt;- availableCores() - 1</w:t>
      </w:r>
      <w:r>
        <w:br/>
      </w:r>
      <w:r>
        <w:rPr>
          <w:rStyle w:val="VerbatimChar"/>
        </w:rPr>
        <w:t>plan(multisession, worker</w:t>
      </w:r>
      <w:r>
        <w:rPr>
          <w:rStyle w:val="VerbatimChar"/>
        </w:rPr>
        <w:t>s = cores)</w:t>
      </w:r>
      <w:r>
        <w:br/>
      </w:r>
      <w:r>
        <w:br/>
      </w:r>
      <w:r>
        <w:rPr>
          <w:rStyle w:val="VerbatimChar"/>
        </w:rPr>
        <w:t>## estimate the model</w:t>
      </w:r>
      <w:r>
        <w:br/>
      </w:r>
      <w:r>
        <w:rPr>
          <w:rStyle w:val="VerbatimChar"/>
        </w:rPr>
        <w:t>ibm(</w:t>
      </w:r>
      <w:r>
        <w:br/>
      </w:r>
      <w:r>
        <w:rPr>
          <w:rStyle w:val="VerbatimChar"/>
        </w:rPr>
        <w:t xml:space="preserve">  outcome = fat,</w:t>
      </w:r>
      <w:r>
        <w:br/>
      </w:r>
      <w:r>
        <w:rPr>
          <w:rStyle w:val="VerbatimChar"/>
        </w:rPr>
        <w:t xml:space="preserve">  mu = ~ pre1950 + pop + dem,</w:t>
      </w:r>
      <w:r>
        <w:br/>
      </w:r>
      <w:r>
        <w:rPr>
          <w:rStyle w:val="VerbatimChar"/>
        </w:rPr>
        <w:t xml:space="preserve">  alpha = ~ pre1950 + pop + dem,</w:t>
      </w:r>
      <w:r>
        <w:br/>
      </w:r>
      <w:r>
        <w:rPr>
          <w:rStyle w:val="VerbatimChar"/>
        </w:rPr>
        <w:t xml:space="preserve">  theta = ~ pre1950 + pop + dem,</w:t>
      </w:r>
      <w:r>
        <w:br/>
      </w:r>
      <w:r>
        <w:rPr>
          <w:rStyle w:val="VerbatimChar"/>
        </w:rPr>
        <w:t xml:space="preserve">  data = wars</w:t>
      </w:r>
      <w:r>
        <w:br/>
      </w:r>
      <w:r>
        <w:rPr>
          <w:rStyle w:val="VerbatimChar"/>
        </w:rPr>
        <w:t>) -&gt; model_fit</w:t>
      </w:r>
    </w:p>
    <w:p w:rsidR="002254A7" w:rsidRDefault="00667866">
      <w:pPr>
        <w:pStyle w:val="FirstParagraph"/>
      </w:pPr>
      <w:r>
        <w:t xml:space="preserve">The </w:t>
      </w:r>
      <w:r>
        <w:rPr>
          <w:rStyle w:val="VerbatimChar"/>
        </w:rPr>
        <w:t>ibm()</w:t>
      </w:r>
      <w:r>
        <w:t xml:space="preserve"> function has some other settings as well. For example, one can ch</w:t>
      </w:r>
      <w:r>
        <w:t xml:space="preserve">oose whether the </w:t>
      </w:r>
      <w:r>
        <w:rPr>
          <w:rStyle w:val="VerbatimChar"/>
        </w:rPr>
        <w:t>ibm()</w:t>
      </w:r>
      <w:r>
        <w:t xml:space="preserve"> function “talks” to you about the progress it’s making in estimating the model by setting </w:t>
      </w:r>
      <w:r>
        <w:rPr>
          <w:rStyle w:val="VerbatimChar"/>
        </w:rPr>
        <w:t>verbose</w:t>
      </w:r>
      <w:r>
        <w:t xml:space="preserve"> to </w:t>
      </w:r>
      <w:r>
        <w:rPr>
          <w:rStyle w:val="VerbatimChar"/>
        </w:rPr>
        <w:t>TRUE</w:t>
      </w:r>
      <w:r>
        <w:t xml:space="preserve"> or </w:t>
      </w:r>
      <w:r>
        <w:rPr>
          <w:rStyle w:val="VerbatimChar"/>
        </w:rPr>
        <w:t>FALSE</w:t>
      </w:r>
      <w:r>
        <w:t xml:space="preserve">. The default is </w:t>
      </w:r>
      <w:r>
        <w:rPr>
          <w:rStyle w:val="VerbatimChar"/>
        </w:rPr>
        <w:t>TRUE</w:t>
      </w:r>
      <w:r>
        <w:t>. As a matter of preference, some may like having a visual cue that the model is working (especial</w:t>
      </w:r>
      <w:r>
        <w:t>ly if run time takes a while), but others may prefer to avoid the clutter.</w:t>
      </w:r>
    </w:p>
    <w:p w:rsidR="002254A7" w:rsidRDefault="00667866">
      <w:pPr>
        <w:pStyle w:val="BodyText"/>
      </w:pPr>
      <w:r>
        <w:t xml:space="preserve">Once the model is estimated, to see the regression results summary you can pull it directly from the fitted model object using </w:t>
      </w:r>
      <w:r>
        <w:rPr>
          <w:rStyle w:val="VerbatimChar"/>
        </w:rPr>
        <w:t>.$summary</w:t>
      </w:r>
      <w:r>
        <w:t>. Note that the summary is saved in a “tibble</w:t>
      </w:r>
      <w:r>
        <w:t xml:space="preserve">”—a tidy data table created using the </w:t>
      </w:r>
      <w:r>
        <w:rPr>
          <w:rStyle w:val="VerbatimChar"/>
        </w:rPr>
        <w:t>{tibble}</w:t>
      </w:r>
      <w:r>
        <w:t xml:space="preserve"> R package. Following normal conventions for tidy regression model output, there are columns named </w:t>
      </w:r>
      <w:r>
        <w:rPr>
          <w:rStyle w:val="VerbatimChar"/>
        </w:rPr>
        <w:t>term</w:t>
      </w:r>
      <w:r>
        <w:t xml:space="preserve">, </w:t>
      </w:r>
      <w:r>
        <w:rPr>
          <w:rStyle w:val="VerbatimChar"/>
        </w:rPr>
        <w:t>estimate</w:t>
      </w:r>
      <w:r>
        <w:t xml:space="preserve">, </w:t>
      </w:r>
      <w:r>
        <w:rPr>
          <w:rStyle w:val="VerbatimChar"/>
        </w:rPr>
        <w:t>std.error</w:t>
      </w:r>
      <w:r>
        <w:t xml:space="preserve">, </w:t>
      </w:r>
      <w:r>
        <w:rPr>
          <w:rStyle w:val="VerbatimChar"/>
        </w:rPr>
        <w:t>statistic</w:t>
      </w:r>
      <w:r>
        <w:t xml:space="preserve">, and </w:t>
      </w:r>
      <w:r>
        <w:rPr>
          <w:rStyle w:val="VerbatimChar"/>
        </w:rPr>
        <w:t>p.value</w:t>
      </w:r>
      <w:r>
        <w:t xml:space="preserve">. These show the name of the model predictor, the coefficient </w:t>
      </w:r>
      <w:r>
        <w:t xml:space="preserve">estimate, its standard error, the test statistic, and the p-value, respectively. There is an additional </w:t>
      </w:r>
      <w:r>
        <w:rPr>
          <w:rStyle w:val="VerbatimChar"/>
        </w:rPr>
        <w:t>param</w:t>
      </w:r>
      <w:r>
        <w:t xml:space="preserve"> column, too. This indicates which of the three inverse Burr parameters a term was used to model.</w:t>
      </w:r>
    </w:p>
    <w:p w:rsidR="002254A7" w:rsidRDefault="00667866">
      <w:pPr>
        <w:pStyle w:val="SourceCode"/>
      </w:pPr>
      <w:r>
        <w:rPr>
          <w:rStyle w:val="VerbatimChar"/>
        </w:rPr>
        <w:t>model_fit$summary</w:t>
      </w:r>
      <w:r>
        <w:br/>
      </w:r>
      <w:r>
        <w:br/>
      </w:r>
      <w:r>
        <w:rPr>
          <w:rStyle w:val="VerbatimChar"/>
        </w:rPr>
        <w:t># A tibble: 12 × 6</w:t>
      </w:r>
      <w:r>
        <w:br/>
      </w:r>
      <w:r>
        <w:rPr>
          <w:rStyle w:val="VerbatimChar"/>
        </w:rPr>
        <w:t xml:space="preserve">   param te</w:t>
      </w:r>
      <w:r>
        <w:rPr>
          <w:rStyle w:val="VerbatimChar"/>
        </w:rPr>
        <w:t>rm             estimate std.error statistic p.value</w:t>
      </w:r>
      <w:r>
        <w:br/>
      </w:r>
      <w:r>
        <w:rPr>
          <w:rStyle w:val="VerbatimChar"/>
        </w:rPr>
        <w:t xml:space="preserve">   &lt;chr&gt; &lt;chr&gt;               &lt;dbl&gt;     &lt;dbl&gt;     &lt;dbl&gt;   &lt;dbl&gt;</w:t>
      </w:r>
      <w:r>
        <w:br/>
      </w:r>
      <w:r>
        <w:rPr>
          <w:rStyle w:val="VerbatimChar"/>
        </w:rPr>
        <w:t xml:space="preserve"> 1 mu    (Intercept)        0.290     0.379      0.765   0.444</w:t>
      </w:r>
      <w:r>
        <w:br/>
      </w:r>
      <w:r>
        <w:rPr>
          <w:rStyle w:val="VerbatimChar"/>
        </w:rPr>
        <w:t xml:space="preserve"> 2 mu    pre1950            0.721     0.280      2.58    0.01 </w:t>
      </w:r>
      <w:r>
        <w:br/>
      </w:r>
      <w:r>
        <w:rPr>
          <w:rStyle w:val="VerbatimChar"/>
        </w:rPr>
        <w:t xml:space="preserve"> 3 mu    dem   </w:t>
      </w:r>
      <w:r>
        <w:rPr>
          <w:rStyle w:val="VerbatimChar"/>
        </w:rPr>
        <w:t xml:space="preserve">            -0.0918    0.150     -0.611   0.542</w:t>
      </w:r>
      <w:r>
        <w:br/>
      </w:r>
      <w:r>
        <w:rPr>
          <w:rStyle w:val="VerbatimChar"/>
        </w:rPr>
        <w:t xml:space="preserve"> 4 mu    pop                0.0538    0.183      0.294   0.768</w:t>
      </w:r>
      <w:r>
        <w:br/>
      </w:r>
      <w:r>
        <w:rPr>
          <w:rStyle w:val="VerbatimChar"/>
        </w:rPr>
        <w:t xml:space="preserve"> 5 alpha (Intercept)       -0.225     0.487     -0.461   0.644</w:t>
      </w:r>
      <w:r>
        <w:br/>
      </w:r>
      <w:r>
        <w:rPr>
          <w:rStyle w:val="VerbatimChar"/>
        </w:rPr>
        <w:t xml:space="preserve"> 6 alpha pre1950           -0.104     0.405     -0.257   0.798</w:t>
      </w:r>
      <w:r>
        <w:br/>
      </w:r>
      <w:r>
        <w:rPr>
          <w:rStyle w:val="VerbatimChar"/>
        </w:rPr>
        <w:t xml:space="preserve"> 7 alpha dem       </w:t>
      </w:r>
      <w:r>
        <w:rPr>
          <w:rStyle w:val="VerbatimChar"/>
        </w:rPr>
        <w:t xml:space="preserve">         0.183     0.117      1.56    0.118</w:t>
      </w:r>
      <w:r>
        <w:br/>
      </w:r>
      <w:r>
        <w:rPr>
          <w:rStyle w:val="VerbatimChar"/>
        </w:rPr>
        <w:t xml:space="preserve"> 8 alpha pop                0.443     0.140      3.17    0.002</w:t>
      </w:r>
      <w:r>
        <w:br/>
      </w:r>
      <w:r>
        <w:rPr>
          <w:rStyle w:val="VerbatimChar"/>
        </w:rPr>
        <w:t xml:space="preserve"> 9 theta (Intercept)       -1.03      0.241     -4.30    0    </w:t>
      </w:r>
      <w:r>
        <w:br/>
      </w:r>
      <w:r>
        <w:rPr>
          <w:rStyle w:val="VerbatimChar"/>
        </w:rPr>
        <w:t>10 theta pre1950           -0.0418    0.122     -0.342   0.732</w:t>
      </w:r>
      <w:r>
        <w:br/>
      </w:r>
      <w:r>
        <w:rPr>
          <w:rStyle w:val="VerbatimChar"/>
        </w:rPr>
        <w:t xml:space="preserve">11 theta dem           </w:t>
      </w:r>
      <w:r>
        <w:rPr>
          <w:rStyle w:val="VerbatimChar"/>
        </w:rPr>
        <w:t xml:space="preserve">     0.0249    0.0261     0.954   0.34 </w:t>
      </w:r>
      <w:r>
        <w:br/>
      </w:r>
      <w:r>
        <w:rPr>
          <w:rStyle w:val="VerbatimChar"/>
        </w:rPr>
        <w:t xml:space="preserve">12 theta pop                0.0566    0.0218     2.60    0.01 </w:t>
      </w:r>
    </w:p>
    <w:p w:rsidR="002254A7" w:rsidRDefault="00667866">
      <w:pPr>
        <w:pStyle w:val="FirstParagraph"/>
      </w:pPr>
      <w:r>
        <w:t>Other objects can be pulled out of the model as well: the empirical distribution of bootstrapped parameters (</w:t>
      </w:r>
      <w:r>
        <w:rPr>
          <w:rStyle w:val="VerbatimChar"/>
        </w:rPr>
        <w:t>.$boot_values</w:t>
      </w:r>
      <w:r>
        <w:t>), the model data (</w:t>
      </w:r>
      <w:r>
        <w:rPr>
          <w:rStyle w:val="VerbatimChar"/>
        </w:rPr>
        <w:t>.$model_data</w:t>
      </w:r>
      <w:r>
        <w:t>), and the negative log likelihood (</w:t>
      </w:r>
      <w:r>
        <w:rPr>
          <w:rStyle w:val="VerbatimChar"/>
        </w:rPr>
        <w:t>.$logLik</w:t>
      </w:r>
      <w:r>
        <w:t>).</w:t>
      </w:r>
    </w:p>
    <w:p w:rsidR="002254A7" w:rsidRDefault="00667866">
      <w:pPr>
        <w:pStyle w:val="Heading2"/>
      </w:pPr>
      <w:bookmarkStart w:id="15" w:name="visualizing-data"/>
      <w:bookmarkEnd w:id="14"/>
      <w:r>
        <w:t>Visualizing Data</w:t>
      </w:r>
    </w:p>
    <w:p w:rsidR="002254A7" w:rsidRDefault="00667866">
      <w:pPr>
        <w:pStyle w:val="FirstParagraph"/>
      </w:pPr>
      <w:r>
        <w:t xml:space="preserve">Prior to model estimation, one may want to visualize an outcome variable of interest in a log-log plot of the </w:t>
      </w:r>
      <m:oMath>
        <m:r>
          <m:rPr>
            <m:sty m:val="p"/>
          </m:rPr>
          <w:rPr>
            <w:rFonts w:ascii="Cambria Math" w:hAnsi="Cambria Math"/>
          </w:rPr>
          <m:t>Pr</m:t>
        </m:r>
        <m:d>
          <m:dPr>
            <m:ctrlPr>
              <w:rPr>
                <w:rFonts w:ascii="Cambria Math" w:hAnsi="Cambria Math"/>
              </w:rPr>
            </m:ctrlPr>
          </m:dPr>
          <m:e>
            <m:r>
              <w:rPr>
                <w:rFonts w:ascii="Cambria Math" w:hAnsi="Cambria Math"/>
              </w:rPr>
              <m:t>X</m:t>
            </m:r>
            <m:r>
              <m:rPr>
                <m:sty m:val="p"/>
              </m:rPr>
              <w:rPr>
                <w:rFonts w:ascii="Cambria Math" w:hAnsi="Cambria Math"/>
              </w:rPr>
              <m:t>&gt;</m:t>
            </m:r>
            <m:r>
              <w:rPr>
                <w:rFonts w:ascii="Cambria Math" w:hAnsi="Cambria Math"/>
              </w:rPr>
              <m:t>x</m:t>
            </m:r>
          </m:e>
        </m:d>
      </m:oMath>
      <w:r>
        <w:t xml:space="preserve"> per observed values of </w:t>
      </w:r>
      <m:oMath>
        <m:r>
          <w:rPr>
            <w:rFonts w:ascii="Cambria Math" w:hAnsi="Cambria Math"/>
          </w:rPr>
          <m:t>x</m:t>
        </m:r>
      </m:oMath>
      <w:r>
        <w:t xml:space="preserve"> in the data to visually check whether the data d</w:t>
      </w:r>
      <w:r>
        <w:t xml:space="preserve">isplays a characteristically thick right-hand tail that one would see with the inverse Burr distribution. The </w:t>
      </w:r>
      <w:r>
        <w:rPr>
          <w:rStyle w:val="VerbatimChar"/>
        </w:rPr>
        <w:t>{actuwar}</w:t>
      </w:r>
      <w:r>
        <w:t xml:space="preserve"> package has a function called </w:t>
      </w:r>
      <w:r>
        <w:rPr>
          <w:rStyle w:val="VerbatimChar"/>
        </w:rPr>
        <w:t>llplot()</w:t>
      </w:r>
      <w:r>
        <w:t xml:space="preserve"> that will produce such a plot. It is an opinionated wrapper for a plot produced using the popular</w:t>
      </w:r>
      <w:r>
        <w:t xml:space="preserve"> </w:t>
      </w:r>
      <w:r>
        <w:rPr>
          <w:rStyle w:val="VerbatimChar"/>
        </w:rPr>
        <w:t>{ggplot2}</w:t>
      </w:r>
      <w:r>
        <w:t xml:space="preserve"> package.</w:t>
      </w:r>
    </w:p>
    <w:p w:rsidR="002254A7" w:rsidRDefault="00667866">
      <w:pPr>
        <w:pStyle w:val="BodyText"/>
      </w:pPr>
      <w:r>
        <w:t xml:space="preserve">The below code, for example, will produce a log-log plot for the </w:t>
      </w:r>
      <m:oMath>
        <m:r>
          <m:rPr>
            <m:sty m:val="p"/>
          </m:rPr>
          <w:rPr>
            <w:rFonts w:ascii="Cambria Math" w:hAnsi="Cambria Math"/>
          </w:rPr>
          <m:t>Pr</m:t>
        </m:r>
        <m:d>
          <m:dPr>
            <m:ctrlPr>
              <w:rPr>
                <w:rFonts w:ascii="Cambria Math" w:hAnsi="Cambria Math"/>
              </w:rPr>
            </m:ctrlPr>
          </m:dPr>
          <m:e>
            <m:r>
              <w:rPr>
                <w:rFonts w:ascii="Cambria Math" w:hAnsi="Cambria Math"/>
              </w:rPr>
              <m:t>X</m:t>
            </m:r>
            <m:r>
              <m:rPr>
                <m:sty m:val="p"/>
              </m:rPr>
              <w:rPr>
                <w:rFonts w:ascii="Cambria Math" w:hAnsi="Cambria Math"/>
              </w:rPr>
              <m:t>&gt;</m:t>
            </m:r>
            <m:r>
              <w:rPr>
                <w:rFonts w:ascii="Cambria Math" w:hAnsi="Cambria Math"/>
              </w:rPr>
              <m:t>x</m:t>
            </m:r>
          </m:e>
        </m:d>
      </m:oMath>
      <w:r>
        <w:t xml:space="preserve"> given </w:t>
      </w:r>
      <m:oMath>
        <m:r>
          <w:rPr>
            <w:rFonts w:ascii="Cambria Math" w:hAnsi="Cambria Math"/>
          </w:rPr>
          <m:t>x</m:t>
        </m:r>
      </m:oMath>
      <w:r>
        <w:t xml:space="preserve"> for battle deaths in the CoW war series. The results are shown in Figure 7. The </w:t>
      </w:r>
      <w:r>
        <w:rPr>
          <w:rStyle w:val="VerbatimChar"/>
        </w:rPr>
        <w:t>llplot()</w:t>
      </w:r>
      <w:r>
        <w:t xml:space="preserve"> function needs only a data object and a variable from the data to</w:t>
      </w:r>
      <w:r>
        <w:t xml:space="preserve"> do its job. The output is “bare bones,” but because the output is a </w:t>
      </w:r>
      <w:r>
        <w:rPr>
          <w:rStyle w:val="VerbatimChar"/>
        </w:rPr>
        <w:t>ggplot()</w:t>
      </w:r>
      <w:r>
        <w:t xml:space="preserve"> object, it is infinitely customizeable using the suite of tools available with the </w:t>
      </w:r>
      <w:r>
        <w:rPr>
          <w:rStyle w:val="VerbatimChar"/>
        </w:rPr>
        <w:t>{ggplot2}</w:t>
      </w:r>
      <w:r>
        <w:t xml:space="preserve"> package and other related packages in the </w:t>
      </w:r>
      <w:r>
        <w:rPr>
          <w:rStyle w:val="VerbatimChar"/>
        </w:rPr>
        <w:t>{ggplot2}</w:t>
      </w:r>
      <w:r>
        <w:t xml:space="preserve"> orbit.</w:t>
      </w:r>
    </w:p>
    <w:p w:rsidR="002254A7" w:rsidRDefault="00667866">
      <w:pPr>
        <w:pStyle w:val="SourceCode"/>
      </w:pPr>
      <w:r>
        <w:rPr>
          <w:rStyle w:val="VerbatimChar"/>
        </w:rPr>
        <w:t>llplot(wars, fat)</w:t>
      </w:r>
    </w:p>
    <w:p w:rsidR="002254A7" w:rsidRDefault="00667866">
      <w:pPr>
        <w:pStyle w:val="FirstParagraph"/>
      </w:pPr>
      <w:r>
        <w:rPr>
          <w:noProof/>
        </w:rPr>
        <w:drawing>
          <wp:inline distT="0" distB="0" distL="0" distR="0">
            <wp:extent cx="5497394" cy="3664929"/>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_figs/fig7.png"/>
                    <pic:cNvPicPr>
                      <a:picLocks noChangeAspect="1" noChangeArrowheads="1"/>
                    </pic:cNvPicPr>
                  </pic:nvPicPr>
                  <pic:blipFill>
                    <a:blip r:embed="rId13"/>
                    <a:stretch>
                      <a:fillRect/>
                    </a:stretch>
                  </pic:blipFill>
                  <pic:spPr bwMode="auto">
                    <a:xfrm>
                      <a:off x="0" y="0"/>
                      <a:ext cx="5497394" cy="3664929"/>
                    </a:xfrm>
                    <a:prstGeom prst="rect">
                      <a:avLst/>
                    </a:prstGeom>
                    <a:noFill/>
                    <a:ln w="9525">
                      <a:noFill/>
                      <a:headEnd/>
                      <a:tailEnd/>
                    </a:ln>
                  </pic:spPr>
                </pic:pic>
              </a:graphicData>
            </a:graphic>
          </wp:inline>
        </w:drawing>
      </w:r>
    </w:p>
    <w:p w:rsidR="002254A7" w:rsidRDefault="00667866">
      <w:pPr>
        <w:pStyle w:val="BodyText"/>
      </w:pPr>
      <w:r>
        <w:rPr>
          <w:rStyle w:val="VerbatimChar"/>
        </w:rPr>
        <w:t>llplot</w:t>
      </w:r>
      <w:r>
        <w:rPr>
          <w:rStyle w:val="VerbatimChar"/>
        </w:rPr>
        <w:t>()</w:t>
      </w:r>
      <w:r>
        <w:t xml:space="preserve"> has two additional features. First, it can produce a log-log plot with </w:t>
      </w:r>
      <m:oMath>
        <m:r>
          <m:rPr>
            <m:sty m:val="p"/>
          </m:rPr>
          <w:rPr>
            <w:rFonts w:ascii="Cambria Math" w:hAnsi="Cambria Math"/>
          </w:rPr>
          <m:t>Pr</m:t>
        </m:r>
        <m:d>
          <m:dPr>
            <m:ctrlPr>
              <w:rPr>
                <w:rFonts w:ascii="Cambria Math" w:hAnsi="Cambria Math"/>
              </w:rPr>
            </m:ctrlPr>
          </m:dPr>
          <m:e>
            <m:r>
              <w:rPr>
                <w:rFonts w:ascii="Cambria Math" w:hAnsi="Cambria Math"/>
              </w:rPr>
              <m:t>X</m:t>
            </m:r>
            <m:r>
              <m:rPr>
                <m:sty m:val="p"/>
              </m:rPr>
              <w:rPr>
                <w:rFonts w:ascii="Cambria Math" w:hAnsi="Cambria Math"/>
              </w:rPr>
              <m:t>&gt;</m:t>
            </m:r>
            <m:r>
              <w:rPr>
                <w:rFonts w:ascii="Cambria Math" w:hAnsi="Cambria Math"/>
              </w:rPr>
              <m:t>x</m:t>
            </m:r>
          </m:e>
        </m:d>
      </m:oMath>
      <w:r>
        <w:t xml:space="preserve"> grouped by a categorical variable or factor. For example, the below code will group the data by whether a war started before or after 1950. The results are shown in Figure 8.</w:t>
      </w:r>
    </w:p>
    <w:p w:rsidR="002254A7" w:rsidRDefault="00667866">
      <w:pPr>
        <w:pStyle w:val="SourceCode"/>
      </w:pPr>
      <w:r>
        <w:rPr>
          <w:rStyle w:val="VerbatimChar"/>
        </w:rPr>
        <w:t>llplot(wars, fat, by = post1950)</w:t>
      </w:r>
    </w:p>
    <w:p w:rsidR="002254A7" w:rsidRDefault="00667866">
      <w:pPr>
        <w:pStyle w:val="FirstParagraph"/>
      </w:pPr>
      <w:r>
        <w:rPr>
          <w:noProof/>
        </w:rPr>
        <w:drawing>
          <wp:inline distT="0" distB="0" distL="0" distR="0">
            <wp:extent cx="5497394" cy="4123046"/>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_figs/fig8.png"/>
                    <pic:cNvPicPr>
                      <a:picLocks noChangeAspect="1" noChangeArrowheads="1"/>
                    </pic:cNvPicPr>
                  </pic:nvPicPr>
                  <pic:blipFill>
                    <a:blip r:embed="rId14"/>
                    <a:stretch>
                      <a:fillRect/>
                    </a:stretch>
                  </pic:blipFill>
                  <pic:spPr bwMode="auto">
                    <a:xfrm>
                      <a:off x="0" y="0"/>
                      <a:ext cx="5497394" cy="4123046"/>
                    </a:xfrm>
                    <a:prstGeom prst="rect">
                      <a:avLst/>
                    </a:prstGeom>
                    <a:noFill/>
                    <a:ln w="9525">
                      <a:noFill/>
                      <a:headEnd/>
                      <a:tailEnd/>
                    </a:ln>
                  </pic:spPr>
                </pic:pic>
              </a:graphicData>
            </a:graphic>
          </wp:inline>
        </w:drawing>
      </w:r>
    </w:p>
    <w:p w:rsidR="002254A7" w:rsidRDefault="00667866">
      <w:pPr>
        <w:pStyle w:val="BodyText"/>
      </w:pPr>
      <w:r>
        <w:t xml:space="preserve">The second additional feature is that </w:t>
      </w:r>
      <w:r>
        <w:rPr>
          <w:rStyle w:val="VerbatimChar"/>
        </w:rPr>
        <w:t>llplot()</w:t>
      </w:r>
      <w:r>
        <w:t xml:space="preserve"> will draw the inverse Burr fit for the data points shown in the plot. This feature works both for ungrouped and grouped data points. The below code produces a plot with </w:t>
      </w:r>
      <m:oMath>
        <m:r>
          <m:rPr>
            <m:sty m:val="p"/>
          </m:rPr>
          <w:rPr>
            <w:rFonts w:ascii="Cambria Math" w:hAnsi="Cambria Math"/>
          </w:rPr>
          <m:t>Pr</m:t>
        </m:r>
        <m:d>
          <m:dPr>
            <m:ctrlPr>
              <w:rPr>
                <w:rFonts w:ascii="Cambria Math" w:hAnsi="Cambria Math"/>
              </w:rPr>
            </m:ctrlPr>
          </m:dPr>
          <m:e>
            <m:r>
              <w:rPr>
                <w:rFonts w:ascii="Cambria Math" w:hAnsi="Cambria Math"/>
              </w:rPr>
              <m:t>X</m:t>
            </m:r>
            <m:r>
              <m:rPr>
                <m:sty m:val="p"/>
              </m:rPr>
              <w:rPr>
                <w:rFonts w:ascii="Cambria Math" w:hAnsi="Cambria Math"/>
              </w:rPr>
              <m:t>&gt;</m:t>
            </m:r>
            <m:r>
              <w:rPr>
                <w:rFonts w:ascii="Cambria Math" w:hAnsi="Cambria Math"/>
              </w:rPr>
              <m:t>x</m:t>
            </m:r>
          </m:e>
        </m:d>
      </m:oMath>
      <w:r>
        <w:t xml:space="preserve"> for battle deaths grouped by whether the war started before or after 1950, and it adds inverse Burr fits for each group of data points.</w:t>
      </w:r>
    </w:p>
    <w:p w:rsidR="002254A7" w:rsidRDefault="00667866">
      <w:pPr>
        <w:pStyle w:val="SourceCode"/>
      </w:pPr>
      <w:r>
        <w:rPr>
          <w:rStyle w:val="VerbatimChar"/>
        </w:rPr>
        <w:t>llplot(wars, fat, by = post1950, show_fit = T)</w:t>
      </w:r>
    </w:p>
    <w:p w:rsidR="002254A7" w:rsidRDefault="00667866">
      <w:pPr>
        <w:pStyle w:val="FirstParagraph"/>
      </w:pPr>
      <w:r>
        <w:rPr>
          <w:noProof/>
        </w:rPr>
        <w:drawing>
          <wp:inline distT="0" distB="0" distL="0" distR="0">
            <wp:extent cx="5497394" cy="4123046"/>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_figs/fig9.png"/>
                    <pic:cNvPicPr>
                      <a:picLocks noChangeAspect="1" noChangeArrowheads="1"/>
                    </pic:cNvPicPr>
                  </pic:nvPicPr>
                  <pic:blipFill>
                    <a:blip r:embed="rId15"/>
                    <a:stretch>
                      <a:fillRect/>
                    </a:stretch>
                  </pic:blipFill>
                  <pic:spPr bwMode="auto">
                    <a:xfrm>
                      <a:off x="0" y="0"/>
                      <a:ext cx="5497394" cy="4123046"/>
                    </a:xfrm>
                    <a:prstGeom prst="rect">
                      <a:avLst/>
                    </a:prstGeom>
                    <a:noFill/>
                    <a:ln w="9525">
                      <a:noFill/>
                      <a:headEnd/>
                      <a:tailEnd/>
                    </a:ln>
                  </pic:spPr>
                </pic:pic>
              </a:graphicData>
            </a:graphic>
          </wp:inline>
        </w:drawing>
      </w:r>
    </w:p>
    <w:p w:rsidR="002254A7" w:rsidRDefault="00667866">
      <w:pPr>
        <w:pStyle w:val="Heading2"/>
      </w:pPr>
      <w:bookmarkStart w:id="16" w:name="summarizing-model-results"/>
      <w:bookmarkEnd w:id="15"/>
      <w:r>
        <w:t>Summarizing Model Results</w:t>
      </w:r>
    </w:p>
    <w:p w:rsidR="002254A7" w:rsidRDefault="00667866">
      <w:pPr>
        <w:pStyle w:val="FirstParagraph"/>
      </w:pPr>
      <w:r>
        <w:t xml:space="preserve">Once an inverse Burr model is estimated, </w:t>
      </w:r>
      <w:r>
        <w:t>there are several ways to summarize the results for an inverse Burr regression to draw inferences. Two approaches are presented here. The first is by way of a regression table. This is the format that most journals in political science expect, and it is tr</w:t>
      </w:r>
      <w:r>
        <w:t>ivial to do for inverse Burr models.</w:t>
      </w:r>
    </w:p>
    <w:p w:rsidR="002254A7" w:rsidRDefault="00667866">
      <w:pPr>
        <w:pStyle w:val="BodyText"/>
      </w:pPr>
      <w:r>
        <w:t xml:space="preserve">However, there are some important considerations to keep in mind when producing and interpreting an inverse Burr regression table. For one, since covariates can be used to fit three different parameters, this will need </w:t>
      </w:r>
      <w:r>
        <w:t xml:space="preserve">to be signaled somehow in the table. It might be appropriate either to use row headings for model predictors, or to have multiple columns. In Table 1, the second approach is adopted. Results are shown for two different inverse Burr models. One is a </w:t>
      </w:r>
      <w:r>
        <w:rPr>
          <w:i/>
          <w:iCs/>
        </w:rPr>
        <w:t>Baselin</w:t>
      </w:r>
      <w:r>
        <w:rPr>
          <w:i/>
          <w:iCs/>
        </w:rPr>
        <w:t>e</w:t>
      </w:r>
      <w:r>
        <w:t xml:space="preserve"> model that includes no covariates, and the other is a </w:t>
      </w:r>
      <w:r>
        <w:rPr>
          <w:i/>
          <w:iCs/>
        </w:rPr>
        <w:t>Covariate</w:t>
      </w:r>
      <w:r>
        <w:t xml:space="preserve"> model where a pre-1950 indicator, average polity, and the log of pooled country population are used as predictors for all three inverse Burr parameters. There are six columns in total. Note </w:t>
      </w:r>
      <w:r>
        <w:t>that the parameters are labelled as the log of their value. This is because the exponent was used to transform the linear component of the model to ensure fitted parameter values are strictly positive. Estimates, therefore, are interpreted as a change to t</w:t>
      </w:r>
      <w:r>
        <w:t>he log of a model parameter.</w:t>
      </w:r>
    </w:p>
    <w:p w:rsidR="002254A7" w:rsidRDefault="00667866">
      <w:pPr>
        <w:pStyle w:val="BodyText"/>
      </w:pPr>
      <w:r>
        <w:rPr>
          <w:noProof/>
        </w:rPr>
        <w:drawing>
          <wp:inline distT="0" distB="0" distL="0" distR="0">
            <wp:extent cx="5497394" cy="3664929"/>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_figs/fig_regtab.png"/>
                    <pic:cNvPicPr>
                      <a:picLocks noChangeAspect="1" noChangeArrowheads="1"/>
                    </pic:cNvPicPr>
                  </pic:nvPicPr>
                  <pic:blipFill>
                    <a:blip r:embed="rId16"/>
                    <a:stretch>
                      <a:fillRect/>
                    </a:stretch>
                  </pic:blipFill>
                  <pic:spPr bwMode="auto">
                    <a:xfrm>
                      <a:off x="0" y="0"/>
                      <a:ext cx="5497394" cy="3664929"/>
                    </a:xfrm>
                    <a:prstGeom prst="rect">
                      <a:avLst/>
                    </a:prstGeom>
                    <a:noFill/>
                    <a:ln w="9525">
                      <a:noFill/>
                      <a:headEnd/>
                      <a:tailEnd/>
                    </a:ln>
                  </pic:spPr>
                </pic:pic>
              </a:graphicData>
            </a:graphic>
          </wp:inline>
        </w:drawing>
      </w:r>
    </w:p>
    <w:p w:rsidR="002254A7" w:rsidRDefault="00667866">
      <w:pPr>
        <w:pStyle w:val="BodyText"/>
      </w:pPr>
      <w:r>
        <w:t xml:space="preserve">All the information necessary to construct a regression table like the one presented here can be accessed using the </w:t>
      </w:r>
      <w:r>
        <w:rPr>
          <w:rStyle w:val="VerbatimChar"/>
        </w:rPr>
        <w:t>.$summary</w:t>
      </w:r>
      <w:r>
        <w:t xml:space="preserve"> component in the fitted model object. Because there are many different ways to construct a regressi</w:t>
      </w:r>
      <w:r>
        <w:t>on table in R, a detailed example for how Table 1 was constructed is not included here.</w:t>
      </w:r>
    </w:p>
    <w:p w:rsidR="002254A7" w:rsidRDefault="00667866">
      <w:pPr>
        <w:pStyle w:val="BodyText"/>
      </w:pPr>
      <w:r>
        <w:t>The results shown in Table 1 are quite interesting, but they should be interpreted with caution. First, the pre-1950 indicator is statistically significant only for the</w:t>
      </w:r>
      <w:r>
        <w:t xml:space="preserve"> scale parameter </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Its positive sign means that conflicts before 1950 have a larger expected scale than those after (e.g., a higher central tendency). This is consistent with Cunen, Hjort, and Nygård (2020) </w:t>
      </w:r>
      <w:r>
        <w:t>who find that wars before 1950 are statistically larger than those before.</w:t>
      </w:r>
    </w:p>
    <w:p w:rsidR="002254A7" w:rsidRDefault="00667866">
      <w:pPr>
        <w:pStyle w:val="BodyText"/>
      </w:pPr>
      <w:r>
        <w:t>None of the results for democracy are statistically significant. This is perhaps not so surprising. The current model assumes that democracy’s predictive importance is constant acro</w:t>
      </w:r>
      <w:r>
        <w:t>ss time, but Cunen, Hjort, and Nygård (2020) find that only in the post-1950 period does a higher average democracy score among belligerents predict a change in the odds of a massive war.</w:t>
      </w:r>
    </w:p>
    <w:p w:rsidR="002254A7" w:rsidRDefault="00667866">
      <w:pPr>
        <w:pStyle w:val="BodyText"/>
      </w:pPr>
      <w:r>
        <w:t>Finally, population is statistically significant for both shape para</w:t>
      </w:r>
      <w:r>
        <w:t xml:space="preserve">meters, but not the scale. Most interestingly, the changes it predicts for both shape parameters work in countervailing directions. Wars fought by belligerents with larger combined populations have a statistically lower chance of a small war, as suggested </w:t>
      </w:r>
      <w:r>
        <w:t xml:space="preserve">by the positive coefficient for the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parameter. But the chance of a massive war is also smaller, as suggested by the positive coefficient for the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parameter. One purely speculative explanation for this finding is the law of large numbers. Wars foug</w:t>
      </w:r>
      <w:r>
        <w:t>ht among large countries see less variation in war deaths from the expected scale while those fought among small countries will see more variation.</w:t>
      </w:r>
    </w:p>
    <w:p w:rsidR="002254A7" w:rsidRDefault="00667866">
      <w:pPr>
        <w:pStyle w:val="BodyText"/>
      </w:pPr>
      <w:r>
        <w:t>As interesting as these conclusions from the regression table are, looking at the raw model output is insuff</w:t>
      </w:r>
      <w:r>
        <w:t>icient for drawing firm conclusions about how certain factors predict a change in the odds of seeing small or large wars. Because of the non-linear nature of the inverse Burr model, it is far better to visualize a simulated conditional distribution for the</w:t>
      </w:r>
      <w:r>
        <w:t xml:space="preserve"> outcome of interest.</w:t>
      </w:r>
    </w:p>
    <w:p w:rsidR="002254A7" w:rsidRDefault="00667866">
      <w:pPr>
        <w:pStyle w:val="BodyText"/>
      </w:pPr>
      <w:r>
        <w:t xml:space="preserve">The approach recommend with the </w:t>
      </w:r>
      <w:r>
        <w:rPr>
          <w:rStyle w:val="VerbatimChar"/>
        </w:rPr>
        <w:t>{actuwar}</w:t>
      </w:r>
      <w:r>
        <w:t xml:space="preserve"> package is to simulate draws from a fitted inverse Burr distribution, holding covariates constant at quantities of interest, and then to show the results in a log-log plot. Draws from differen</w:t>
      </w:r>
      <w:r>
        <w:t>t configurations of covariates or different models can be compared in a single visualization to show how they influence the shape of the distribution.</w:t>
      </w:r>
    </w:p>
    <w:p w:rsidR="002254A7" w:rsidRDefault="00667866">
      <w:pPr>
        <w:pStyle w:val="BodyText"/>
      </w:pPr>
      <w:r>
        <w:t>Figure 10 offers an example. It shows the conditional distribution of battle deaths contingent on the poo</w:t>
      </w:r>
      <w:r>
        <w:t>led belligerent populations. Values selected were based on the minimum and maximum observed values in the dataset—1.14 million and well over 1 billion, respectively. Democracy was held constant and the sample mean and the period indicator was set to post-1</w:t>
      </w:r>
      <w:r>
        <w:t xml:space="preserve">950. The results differ from the interpretation of the results in Table 1. Countries with larger populations fighting a war can expect both a lower chance of small wars, and a higher chance large wars. A key driver of this difference is that the simulated </w:t>
      </w:r>
      <w:r>
        <w:t>results factor in parameter uncertainty. While the raw model parameters suggested one thing, the range of results consistent with the model at different covariate levels says another.</w:t>
      </w:r>
    </w:p>
    <w:p w:rsidR="002254A7" w:rsidRDefault="00667866">
      <w:pPr>
        <w:pStyle w:val="BodyText"/>
      </w:pPr>
      <w:r>
        <w:rPr>
          <w:noProof/>
        </w:rPr>
        <w:drawing>
          <wp:inline distT="0" distB="0" distL="0" distR="0">
            <wp:extent cx="5497394" cy="3664929"/>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_figs/fig10.png"/>
                    <pic:cNvPicPr>
                      <a:picLocks noChangeAspect="1" noChangeArrowheads="1"/>
                    </pic:cNvPicPr>
                  </pic:nvPicPr>
                  <pic:blipFill>
                    <a:blip r:embed="rId17"/>
                    <a:stretch>
                      <a:fillRect/>
                    </a:stretch>
                  </pic:blipFill>
                  <pic:spPr bwMode="auto">
                    <a:xfrm>
                      <a:off x="0" y="0"/>
                      <a:ext cx="5497394" cy="3664929"/>
                    </a:xfrm>
                    <a:prstGeom prst="rect">
                      <a:avLst/>
                    </a:prstGeom>
                    <a:noFill/>
                    <a:ln w="9525">
                      <a:noFill/>
                      <a:headEnd/>
                      <a:tailEnd/>
                    </a:ln>
                  </pic:spPr>
                </pic:pic>
              </a:graphicData>
            </a:graphic>
          </wp:inline>
        </w:drawing>
      </w:r>
    </w:p>
    <w:p w:rsidR="002254A7" w:rsidRDefault="00667866">
      <w:pPr>
        <w:pStyle w:val="BodyText"/>
      </w:pPr>
      <w:r>
        <w:t xml:space="preserve">A figure like the one above can be produced using a combination of a function called </w:t>
      </w:r>
      <w:r>
        <w:rPr>
          <w:rStyle w:val="VerbatimChar"/>
        </w:rPr>
        <w:t>ibm_sim()</w:t>
      </w:r>
      <w:r>
        <w:t xml:space="preserve"> and </w:t>
      </w:r>
      <w:r>
        <w:rPr>
          <w:rStyle w:val="VerbatimChar"/>
        </w:rPr>
        <w:t>llplot()</w:t>
      </w:r>
      <w:r>
        <w:t>. The below code will reproduce the same results shown in Figure 10.</w:t>
      </w:r>
    </w:p>
    <w:p w:rsidR="002254A7" w:rsidRDefault="00667866">
      <w:pPr>
        <w:pStyle w:val="SourceCode"/>
      </w:pPr>
      <w:r>
        <w:rPr>
          <w:rStyle w:val="VerbatimChar"/>
        </w:rPr>
        <w:t>ibm_sim(</w:t>
      </w:r>
      <w:r>
        <w:br/>
      </w:r>
      <w:r>
        <w:rPr>
          <w:rStyle w:val="VerbatimChar"/>
        </w:rPr>
        <w:t xml:space="preserve">  model_fit,</w:t>
      </w:r>
      <w:r>
        <w:br/>
      </w:r>
      <w:r>
        <w:rPr>
          <w:rStyle w:val="VerbatimChar"/>
        </w:rPr>
        <w:t xml:space="preserve">  newdata = tibble(</w:t>
      </w:r>
      <w:r>
        <w:br/>
      </w:r>
      <w:r>
        <w:rPr>
          <w:rStyle w:val="VerbatimChar"/>
        </w:rPr>
        <w:t xml:space="preserve">    dem = mean(wars$dem),</w:t>
      </w:r>
      <w:r>
        <w:br/>
      </w:r>
      <w:r>
        <w:rPr>
          <w:rStyle w:val="VerbatimChar"/>
        </w:rPr>
        <w:t xml:space="preserve">    pop = ra</w:t>
      </w:r>
      <w:r>
        <w:rPr>
          <w:rStyle w:val="VerbatimChar"/>
        </w:rPr>
        <w:t>nge(wars$pop),</w:t>
      </w:r>
      <w:r>
        <w:br/>
      </w:r>
      <w:r>
        <w:rPr>
          <w:rStyle w:val="VerbatimChar"/>
        </w:rPr>
        <w:t xml:space="preserve">    pre1950 = 1</w:t>
      </w:r>
      <w:r>
        <w:br/>
      </w:r>
      <w:r>
        <w:rPr>
          <w:rStyle w:val="VerbatimChar"/>
        </w:rPr>
        <w:t xml:space="preserve">  ),</w:t>
      </w:r>
      <w:r>
        <w:br/>
      </w:r>
      <w:r>
        <w:rPr>
          <w:rStyle w:val="VerbatimChar"/>
        </w:rPr>
        <w:t xml:space="preserve">  se = T</w:t>
      </w:r>
      <w:r>
        <w:br/>
      </w:r>
      <w:r>
        <w:rPr>
          <w:rStyle w:val="VerbatimChar"/>
        </w:rPr>
        <w:t>) -&gt; cov_sim</w:t>
      </w:r>
      <w:r>
        <w:br/>
      </w:r>
      <w:r>
        <w:br/>
      </w:r>
      <w:r>
        <w:rPr>
          <w:rStyle w:val="VerbatimChar"/>
        </w:rPr>
        <w:t>llplot(cov_sim, pred, by = as.factor(pop))</w:t>
      </w:r>
    </w:p>
    <w:p w:rsidR="002254A7" w:rsidRDefault="00667866">
      <w:pPr>
        <w:pStyle w:val="FirstParagraph"/>
      </w:pPr>
      <w:r>
        <w:t>One final quantity of interest that researchers often have an interest in when modeling data with extreme tails is the probably of observing an outcome gr</w:t>
      </w:r>
      <w:r>
        <w:t xml:space="preserve">eater than some threshold of interest. Using </w:t>
      </w:r>
      <w:r>
        <w:rPr>
          <w:rStyle w:val="VerbatimChar"/>
        </w:rPr>
        <w:t>{actuwar}</w:t>
      </w:r>
      <w:r>
        <w:t xml:space="preserve"> one can obtain not only observed, but also predicted, probabilities along with confidence intervals. The below code shows how this can be done using the simulated battle deaths shown in Figure 10. A fu</w:t>
      </w:r>
      <w:r>
        <w:t xml:space="preserve">nction called </w:t>
      </w:r>
      <w:r>
        <w:rPr>
          <w:rStyle w:val="VerbatimChar"/>
        </w:rPr>
        <w:t>boot_p()</w:t>
      </w:r>
      <w:r>
        <w:t xml:space="preserve"> will return a summary of the estimated </w:t>
      </w:r>
      <m:oMath>
        <m:r>
          <m:rPr>
            <m:sty m:val="p"/>
          </m:rPr>
          <w:rPr>
            <w:rFonts w:ascii="Cambria Math" w:hAnsi="Cambria Math"/>
          </w:rPr>
          <m:t>Pr</m:t>
        </m:r>
        <m:d>
          <m:dPr>
            <m:ctrlPr>
              <w:rPr>
                <w:rFonts w:ascii="Cambria Math" w:hAnsi="Cambria Math"/>
              </w:rPr>
            </m:ctrlPr>
          </m:dPr>
          <m:e>
            <m:r>
              <w:rPr>
                <w:rFonts w:ascii="Cambria Math" w:hAnsi="Cambria Math"/>
              </w:rPr>
              <m:t>X</m:t>
            </m:r>
            <m:r>
              <m:rPr>
                <m:sty m:val="p"/>
              </m:rPr>
              <w:rPr>
                <w:rFonts w:ascii="Cambria Math" w:hAnsi="Cambria Math"/>
              </w:rPr>
              <m:t>&gt;</m:t>
            </m:r>
            <m:r>
              <w:rPr>
                <w:rFonts w:ascii="Cambria Math" w:hAnsi="Cambria Math"/>
              </w:rPr>
              <m:t>x</m:t>
            </m:r>
          </m:e>
        </m:d>
      </m:oMath>
      <w:r>
        <w:t xml:space="preserve"> along with confidence intervals. The below code specifies 83.4% confidence intervals, which provide the appropriate coverage for a test of non-overlap at the 95% level. The results show </w:t>
      </w:r>
      <w:r>
        <w:t>that the probability of a war with more than 16 million battle deaths is substantially and significantly higher for wars fought by countries with larger populations. The output is summarized in Figure 11.</w:t>
      </w:r>
    </w:p>
    <w:p w:rsidR="002254A7" w:rsidRDefault="00667866">
      <w:pPr>
        <w:pStyle w:val="SourceCode"/>
      </w:pPr>
      <w:r>
        <w:rPr>
          <w:rStyle w:val="VerbatimChar"/>
        </w:rPr>
        <w:t>cov_sim |&gt;</w:t>
      </w:r>
      <w:r>
        <w:br/>
      </w:r>
      <w:r>
        <w:rPr>
          <w:rStyle w:val="VerbatimChar"/>
        </w:rPr>
        <w:t xml:space="preserve">  group_by(pop) |&gt;</w:t>
      </w:r>
      <w:r>
        <w:br/>
      </w:r>
      <w:r>
        <w:rPr>
          <w:rStyle w:val="VerbatimChar"/>
        </w:rPr>
        <w:t xml:space="preserve">  boot_p(pred, thresh</w:t>
      </w:r>
      <w:r>
        <w:rPr>
          <w:rStyle w:val="VerbatimChar"/>
        </w:rPr>
        <w:t xml:space="preserve"> = 16e06, ci = .834)</w:t>
      </w:r>
    </w:p>
    <w:p w:rsidR="002254A7" w:rsidRDefault="00667866">
      <w:pPr>
        <w:pStyle w:val="FirstParagraph"/>
      </w:pPr>
      <w:r>
        <w:rPr>
          <w:noProof/>
        </w:rPr>
        <w:drawing>
          <wp:inline distT="0" distB="0" distL="0" distR="0">
            <wp:extent cx="5497394" cy="3664929"/>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_figs/fig11.png"/>
                    <pic:cNvPicPr>
                      <a:picLocks noChangeAspect="1" noChangeArrowheads="1"/>
                    </pic:cNvPicPr>
                  </pic:nvPicPr>
                  <pic:blipFill>
                    <a:blip r:embed="rId18"/>
                    <a:stretch>
                      <a:fillRect/>
                    </a:stretch>
                  </pic:blipFill>
                  <pic:spPr bwMode="auto">
                    <a:xfrm>
                      <a:off x="0" y="0"/>
                      <a:ext cx="5497394" cy="3664929"/>
                    </a:xfrm>
                    <a:prstGeom prst="rect">
                      <a:avLst/>
                    </a:prstGeom>
                    <a:noFill/>
                    <a:ln w="9525">
                      <a:noFill/>
                      <a:headEnd/>
                      <a:tailEnd/>
                    </a:ln>
                  </pic:spPr>
                </pic:pic>
              </a:graphicData>
            </a:graphic>
          </wp:inline>
        </w:drawing>
      </w:r>
    </w:p>
    <w:p w:rsidR="002254A7" w:rsidRDefault="00667866">
      <w:pPr>
        <w:pStyle w:val="Heading2"/>
      </w:pPr>
      <w:bookmarkStart w:id="17" w:name="X2e2357af0a06fbe9efc5d2aa587696d2e913dba"/>
      <w:bookmarkEnd w:id="16"/>
      <w:r>
        <w:t>A Word of Warning About Data Transformations</w:t>
      </w:r>
    </w:p>
    <w:p w:rsidR="002254A7" w:rsidRDefault="00667866">
      <w:pPr>
        <w:pStyle w:val="FirstParagraph"/>
      </w:pPr>
      <w:r>
        <w:t>Before concluding, a word of caution about inverse Burr models and data transformations is necessary. The inverse Burr can be a powerful tool for assessing the risk of extreme events, such</w:t>
      </w:r>
      <w:r>
        <w:t xml:space="preserve"> as war deaths, and the </w:t>
      </w:r>
      <w:r>
        <w:rPr>
          <w:rStyle w:val="VerbatimChar"/>
        </w:rPr>
        <w:t>{actuwar}</w:t>
      </w:r>
      <w:r>
        <w:t xml:space="preserve"> package provides a wide set of tools to simplify the process. But inverse Burr models, as with many other models, have some unfortunate limitations. One, however, bears special mention: the inverse Burr is highly sensitive</w:t>
      </w:r>
      <w:r>
        <w:t xml:space="preserve"> to the scale of covariates as well as the outcome.</w:t>
      </w:r>
    </w:p>
    <w:p w:rsidR="002254A7" w:rsidRDefault="00667866">
      <w:pPr>
        <w:pStyle w:val="BodyText"/>
      </w:pPr>
      <w:r>
        <w:t xml:space="preserve">Consider Table 2, which shows the results for the same </w:t>
      </w:r>
      <w:r>
        <w:rPr>
          <w:i/>
          <w:iCs/>
        </w:rPr>
        <w:t>Covariate</w:t>
      </w:r>
      <w:r>
        <w:t xml:space="preserve"> model presented in Table 1 and a similar model, using the very same data, with the caveat that war fatalities have been rescaled. Following</w:t>
      </w:r>
      <w:r>
        <w:t xml:space="preserve"> Cunen, Hjort, and Nygård (2020), two changes were made to fatalities. First, since no war in the data can have less than 1,000 total deaths, the data is shifted downward so that the smallest war is now of size 1. Second, to add extra variation to smaller </w:t>
      </w:r>
      <w:r>
        <w:t>wars (there are 9 that have 1,000 deaths exactly) they are recoded to have values between 1 and 9.</w:t>
      </w:r>
    </w:p>
    <w:p w:rsidR="002254A7" w:rsidRDefault="00667866">
      <w:pPr>
        <w:pStyle w:val="BodyText"/>
      </w:pPr>
      <w:r>
        <w:t>The results are dramatically different. Following the transformation, population no longer significantly predicts variation in either of the shape parameters</w:t>
      </w:r>
      <w:r>
        <w:t xml:space="preserve">, but it does predict a significant increase in the scale. Furthermore, the pre-1950 indicator no longer significantly predicts variation in the scale parameter; instead it predicts significant variation in the second shape parameter,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Specifically, i</w:t>
      </w:r>
      <w:r>
        <w:t>t predicts a downward shift in the parameter which implies an increase in the odds of a larger event in the extreme tail of the distribution prior to 1950.</w:t>
      </w:r>
    </w:p>
    <w:p w:rsidR="002254A7" w:rsidRDefault="00667866">
      <w:pPr>
        <w:pStyle w:val="BodyText"/>
      </w:pPr>
      <w:r>
        <w:rPr>
          <w:noProof/>
        </w:rPr>
        <w:drawing>
          <wp:inline distT="0" distB="0" distL="0" distR="0">
            <wp:extent cx="5497394" cy="3664929"/>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_figs/fig_regtab2.png"/>
                    <pic:cNvPicPr>
                      <a:picLocks noChangeAspect="1" noChangeArrowheads="1"/>
                    </pic:cNvPicPr>
                  </pic:nvPicPr>
                  <pic:blipFill>
                    <a:blip r:embed="rId19"/>
                    <a:stretch>
                      <a:fillRect/>
                    </a:stretch>
                  </pic:blipFill>
                  <pic:spPr bwMode="auto">
                    <a:xfrm>
                      <a:off x="0" y="0"/>
                      <a:ext cx="5497394" cy="3664929"/>
                    </a:xfrm>
                    <a:prstGeom prst="rect">
                      <a:avLst/>
                    </a:prstGeom>
                    <a:noFill/>
                    <a:ln w="9525">
                      <a:noFill/>
                      <a:headEnd/>
                      <a:tailEnd/>
                    </a:ln>
                  </pic:spPr>
                </pic:pic>
              </a:graphicData>
            </a:graphic>
          </wp:inline>
        </w:drawing>
      </w:r>
    </w:p>
    <w:p w:rsidR="002254A7" w:rsidRDefault="00667866">
      <w:pPr>
        <w:pStyle w:val="BodyText"/>
      </w:pPr>
      <w:r>
        <w:t>Because the inverse Burr can be so sensitive to the scaling of the outcome, any transformations th</w:t>
      </w:r>
      <w:r>
        <w:t>at a researcher wants to apply should be clearly justified. Even then, it may be advisable to report estimates with and without a desired transformation to check whether, and by how much, it changes the results. Encouragingly, even with the data transforma</w:t>
      </w:r>
      <w:r>
        <w:t>tion applied in the above example, the general conclusions remain the same: wars before 1950 are expected to be larger than those after, and wars fought among large countries are expected to kill more people than those fought among small countries. Where t</w:t>
      </w:r>
      <w:r>
        <w:t>hese conclusions fall in the model, however, come from different places when war deaths is rescaled.</w:t>
      </w:r>
    </w:p>
    <w:p w:rsidR="002254A7" w:rsidRDefault="00667866">
      <w:pPr>
        <w:pStyle w:val="Heading1"/>
      </w:pPr>
      <w:bookmarkStart w:id="18" w:name="conclusion"/>
      <w:bookmarkEnd w:id="8"/>
      <w:bookmarkEnd w:id="17"/>
      <w:r>
        <w:t>Conclusion</w:t>
      </w:r>
    </w:p>
    <w:p w:rsidR="002254A7" w:rsidRDefault="00667866">
      <w:pPr>
        <w:pStyle w:val="FirstParagraph"/>
      </w:pPr>
      <w:r>
        <w:t xml:space="preserve">What would happen if an actuary walked into a war room? They would bring a whole-of-distribution approach to assessing the fatality risk of war </w:t>
      </w:r>
      <w:r>
        <w:t>that is particularly sensitive to the chance of extreme events.</w:t>
      </w:r>
    </w:p>
    <w:p w:rsidR="002254A7" w:rsidRDefault="00667866">
      <w:pPr>
        <w:pStyle w:val="BodyText"/>
      </w:pPr>
      <w:r>
        <w:t xml:space="preserve">Such an approach has clear utility for conflict scholars, which is why Cunen, Hjort, and Nygård (2020) </w:t>
      </w:r>
      <w:r>
        <w:t xml:space="preserve">recently turned to the actuarial toolkit in their study of war deaths. In the process, they introduced an obscure but powerful statistical model to political science known as the inverse Burr. Unfortunately, Cunen, Hjort, and Nygård (2020) provided little </w:t>
      </w:r>
      <w:r>
        <w:t>practical guidance for other researchers on how to use the inverse Burr and they failed to provide a convenient software package to make the method accessible to the wider community of conflict scholars.</w:t>
      </w:r>
    </w:p>
    <w:p w:rsidR="002254A7" w:rsidRDefault="00667866">
      <w:pPr>
        <w:pStyle w:val="BodyText"/>
      </w:pPr>
      <w:r>
        <w:t>This paper fills this gap in two ways. First, it int</w:t>
      </w:r>
      <w:r>
        <w:t xml:space="preserve">roduces an R package called </w:t>
      </w:r>
      <w:r>
        <w:rPr>
          <w:rStyle w:val="VerbatimChar"/>
        </w:rPr>
        <w:t>{actuwar}</w:t>
      </w:r>
      <w:r>
        <w:t xml:space="preserve"> that offers an intuitive user interface for political scientists interested in using this method to model the chance of extreme wars. The package adopts coding conventions common to other models in the R programming la</w:t>
      </w:r>
      <w:r>
        <w:t>nguage to maximize its accessibility.</w:t>
      </w:r>
    </w:p>
    <w:p w:rsidR="002254A7" w:rsidRDefault="00667866">
      <w:pPr>
        <w:pStyle w:val="BodyText"/>
      </w:pPr>
      <w:r>
        <w:t xml:space="preserve">Second, this paper offers practical advice for specifying inverse Burr models, details about model estimation and inference, and presentation of results. A word of warning was provided as well about the inverse Burr’s </w:t>
      </w:r>
      <w:r>
        <w:t>sensitivity to the scaling of variables. Researchers should do their best to ensure that any data transformations they apply are justified, and they may want to show results both with and without their preferred transformations to assure readers that their</w:t>
      </w:r>
      <w:r>
        <w:t xml:space="preserve"> results are insensitive to their choices.</w:t>
      </w:r>
    </w:p>
    <w:p w:rsidR="002254A7" w:rsidRDefault="00667866">
      <w:pPr>
        <w:pStyle w:val="BodyText"/>
      </w:pPr>
      <w:r>
        <w:t xml:space="preserve">Access to a tool like the inverse Burr for studying war size is both timely and important. Since Pinker (2011) published </w:t>
      </w:r>
      <w:r>
        <w:rPr>
          <w:i/>
          <w:iCs/>
        </w:rPr>
        <w:t>Better Angels of Our Nature</w:t>
      </w:r>
      <w:r>
        <w:t>, a number of scholars have taken up the gauntlet of assessing th</w:t>
      </w:r>
      <w:r>
        <w:t>e so-called decline of war thesis. The literature that has emerged around this issue has engendered disagreement over modelling and measurement strategies, and has yielded conflicting findings Spagat and Weezel (2020). While the method proposed by Cunen, H</w:t>
      </w:r>
      <w:r>
        <w:t>jort, and Nygård (2020) has met with some skepticism (Braumoeller 2021), there is great potential for the inverse Burr to play a more prominent role in this literature, not only because of its relevance to the decline of war thesis, but also because of its</w:t>
      </w:r>
      <w:r>
        <w:t xml:space="preserve"> ability to accommodate covariates, allowing researchers to test nuanced hypotheses about which factors predict an elevated chance of an extremely deadly war if one occurs.</w:t>
      </w:r>
    </w:p>
    <w:p w:rsidR="002254A7" w:rsidRDefault="00667866">
      <w:pPr>
        <w:pStyle w:val="BodyText"/>
      </w:pPr>
      <w:r>
        <w:t>It is the hope that conflict scholars will be able to use this method and the assoc</w:t>
      </w:r>
      <w:r>
        <w:t>iated R package to better explain variation in war size and test a wide range of old and new theories about war escalation. This tool will prove especially useful as new datasets with much more granular detail on battle deaths become available, such as the</w:t>
      </w:r>
      <w:r>
        <w:t xml:space="preserve"> Militarized Interstate Events Dataset, 1816-2014 (Gibler and Miller 2024) that provides battle level detail on fatalities for all wars (and conflicts short of war) over a nearly two century period. With both rich data and an accessible tool for studying w</w:t>
      </w:r>
      <w:r>
        <w:t>ar size available, many new advances in conflict scholarship are poised to happen in the next few years.</w:t>
      </w:r>
    </w:p>
    <w:p w:rsidR="002254A7" w:rsidRDefault="00667866">
      <w:pPr>
        <w:pStyle w:val="Heading1"/>
      </w:pPr>
      <w:bookmarkStart w:id="19" w:name="supplementary-materials"/>
      <w:bookmarkEnd w:id="18"/>
      <w:r>
        <w:t>Supplementary Materials</w:t>
      </w:r>
    </w:p>
    <w:p w:rsidR="002254A7" w:rsidRDefault="00667866">
      <w:pPr>
        <w:pStyle w:val="FirstParagraph"/>
      </w:pPr>
      <w:r>
        <w:t>Code to replicate the analysis in this paper can be found on the corresponding author’s GitHub: [link removed to preserve anony</w:t>
      </w:r>
      <w:r>
        <w:t>mity].</w:t>
      </w:r>
    </w:p>
    <w:p w:rsidR="002254A7" w:rsidRDefault="00667866">
      <w:pPr>
        <w:pStyle w:val="Heading1"/>
      </w:pPr>
      <w:bookmarkStart w:id="20" w:name="references"/>
      <w:bookmarkEnd w:id="19"/>
      <w:r>
        <w:t>References</w:t>
      </w:r>
    </w:p>
    <w:p w:rsidR="002254A7" w:rsidRDefault="00667866">
      <w:pPr>
        <w:pStyle w:val="Bibliography"/>
      </w:pPr>
      <w:bookmarkStart w:id="21" w:name="ref-braumoeller2019"/>
      <w:bookmarkStart w:id="22" w:name="refs"/>
      <w:r>
        <w:t xml:space="preserve">Braumoeller, Bear F. 2019. </w:t>
      </w:r>
      <w:r>
        <w:rPr>
          <w:i/>
          <w:iCs/>
        </w:rPr>
        <w:t>Only the Dead: The Persistence of War in the Modern Age</w:t>
      </w:r>
      <w:r>
        <w:t>. New York: Oxford University Press.</w:t>
      </w:r>
    </w:p>
    <w:p w:rsidR="002254A7" w:rsidRDefault="00667866">
      <w:pPr>
        <w:pStyle w:val="Bibliography"/>
      </w:pPr>
      <w:bookmarkStart w:id="23" w:name="ref-braumoeller2021trends"/>
      <w:bookmarkEnd w:id="21"/>
      <w:r>
        <w:t xml:space="preserve">———. 2021. “Trends in Interstate Conflict.” In </w:t>
      </w:r>
      <w:r>
        <w:rPr>
          <w:i/>
          <w:iCs/>
        </w:rPr>
        <w:t>What Do We Know about War? Third Edition</w:t>
      </w:r>
      <w:r>
        <w:t>, edited by Sara McLaughlin Mitc</w:t>
      </w:r>
      <w:r>
        <w:t>hell and John A. Vasquez. Rowman; Littlefield.</w:t>
      </w:r>
    </w:p>
    <w:p w:rsidR="002254A7" w:rsidRDefault="00667866">
      <w:pPr>
        <w:pStyle w:val="Bibliography"/>
      </w:pPr>
      <w:bookmarkStart w:id="24" w:name="ref-cederman2003"/>
      <w:bookmarkEnd w:id="23"/>
      <w:r>
        <w:t xml:space="preserve">Cederman, Lars-Erik. 2003. “Modeling the Size of Wars: From Billiard Balls to Sandpiles.” </w:t>
      </w:r>
      <w:r>
        <w:rPr>
          <w:i/>
          <w:iCs/>
        </w:rPr>
        <w:t>American Political Science Review</w:t>
      </w:r>
      <w:r>
        <w:t xml:space="preserve"> 97 (1): 135–59.</w:t>
      </w:r>
    </w:p>
    <w:p w:rsidR="002254A7" w:rsidRDefault="00667866">
      <w:pPr>
        <w:pStyle w:val="Bibliography"/>
      </w:pPr>
      <w:bookmarkStart w:id="25" w:name="ref-cedermanEtAl2011"/>
      <w:bookmarkEnd w:id="24"/>
      <w:r>
        <w:t>Cederman, Lars-Erik, T. Camber Warren, and Didier Sornette. 2011. “Te</w:t>
      </w:r>
      <w:r>
        <w:t xml:space="preserve">sting Clausewitz: Nationalism, Mass Mobilization, and the Severity of War.” </w:t>
      </w:r>
      <w:r>
        <w:rPr>
          <w:i/>
          <w:iCs/>
        </w:rPr>
        <w:t>International Organization</w:t>
      </w:r>
      <w:r>
        <w:t xml:space="preserve"> 65 (4): 605–38.</w:t>
      </w:r>
    </w:p>
    <w:p w:rsidR="002254A7" w:rsidRDefault="00667866">
      <w:pPr>
        <w:pStyle w:val="Bibliography"/>
      </w:pPr>
      <w:bookmarkStart w:id="26" w:name="ref-cirillo2016statistical"/>
      <w:bookmarkEnd w:id="25"/>
      <w:r>
        <w:t xml:space="preserve">Cirillo, Pasquale, and Nassim Nicholas Taleb. 2016. “On the Statistical Properties and Tail Risk of Violent Conflicts.” </w:t>
      </w:r>
      <w:r>
        <w:rPr>
          <w:i/>
          <w:iCs/>
        </w:rPr>
        <w:t>Physica A: Statis</w:t>
      </w:r>
      <w:r>
        <w:rPr>
          <w:i/>
          <w:iCs/>
        </w:rPr>
        <w:t>tical Mechanics and Its Applications</w:t>
      </w:r>
      <w:r>
        <w:t xml:space="preserve"> 452: 29–45.</w:t>
      </w:r>
    </w:p>
    <w:p w:rsidR="002254A7" w:rsidRDefault="00667866">
      <w:pPr>
        <w:pStyle w:val="Bibliography"/>
      </w:pPr>
      <w:bookmarkStart w:id="27" w:name="ref-clauset2017enduring"/>
      <w:bookmarkEnd w:id="26"/>
      <w:r>
        <w:t>Clauset, Aaron. 2017. “The Enduring Threat of a Large Interstate War.” Technical report. One Earth Foundation.</w:t>
      </w:r>
    </w:p>
    <w:p w:rsidR="002254A7" w:rsidRDefault="00667866">
      <w:pPr>
        <w:pStyle w:val="Bibliography"/>
      </w:pPr>
      <w:bookmarkStart w:id="28" w:name="ref-clauset2018trends"/>
      <w:bookmarkEnd w:id="27"/>
      <w:r>
        <w:t xml:space="preserve">———. 2018. “Trends and Fluctuations in the Severity of Interstate Wars.” </w:t>
      </w:r>
      <w:r>
        <w:rPr>
          <w:i/>
          <w:iCs/>
        </w:rPr>
        <w:t>Science Advances</w:t>
      </w:r>
      <w:r>
        <w:t xml:space="preserve"> </w:t>
      </w:r>
      <w:r>
        <w:t>4 (2): eaao3580.</w:t>
      </w:r>
    </w:p>
    <w:p w:rsidR="002254A7" w:rsidRDefault="00667866">
      <w:pPr>
        <w:pStyle w:val="Bibliography"/>
      </w:pPr>
      <w:bookmarkStart w:id="29" w:name="ref-clausetEtAl2009"/>
      <w:bookmarkEnd w:id="28"/>
      <w:r>
        <w:t xml:space="preserve">Clauset, Aaron, Cosma Rohilla Shalizi, and M.E.J. Newman. 2009. “Power-Law Distributions in Empirical Data.” </w:t>
      </w:r>
      <w:r>
        <w:rPr>
          <w:i/>
          <w:iCs/>
        </w:rPr>
        <w:t>SIAM Review</w:t>
      </w:r>
      <w:r>
        <w:t xml:space="preserve"> 51 (4): 661–703.</w:t>
      </w:r>
    </w:p>
    <w:p w:rsidR="002254A7" w:rsidRDefault="00667866">
      <w:pPr>
        <w:pStyle w:val="Bibliography"/>
      </w:pPr>
      <w:bookmarkStart w:id="30" w:name="ref-clausetEtAl2007"/>
      <w:bookmarkEnd w:id="29"/>
      <w:r>
        <w:t>Clauset, Aaron, Maxwell Young, and Kristian Skrede Gleditsch. 2007. “On the Frequency of Severe Terro</w:t>
      </w:r>
      <w:r>
        <w:t xml:space="preserve">rist Events.” </w:t>
      </w:r>
      <w:r>
        <w:rPr>
          <w:i/>
          <w:iCs/>
        </w:rPr>
        <w:t>Journal of Conflict Resolution</w:t>
      </w:r>
      <w:r>
        <w:t xml:space="preserve"> 51 (1): 58–87.</w:t>
      </w:r>
    </w:p>
    <w:p w:rsidR="002254A7" w:rsidRDefault="00667866">
      <w:pPr>
        <w:pStyle w:val="Bibliography"/>
      </w:pPr>
      <w:bookmarkStart w:id="31" w:name="ref-cunen2020"/>
      <w:bookmarkEnd w:id="30"/>
      <w:r>
        <w:t xml:space="preserve">Cunen, Céline, Nils Lid Hjort, and Håvard Mokleiv Nygård. 2020. “Statistical Sightings of Better Angels: Analysing the Distribution of Battle-Deaths in Interstate Conflict over Time.” </w:t>
      </w:r>
      <w:r>
        <w:rPr>
          <w:i/>
          <w:iCs/>
        </w:rPr>
        <w:t>Journal of P</w:t>
      </w:r>
      <w:r>
        <w:rPr>
          <w:i/>
          <w:iCs/>
        </w:rPr>
        <w:t>eace Research</w:t>
      </w:r>
      <w:r>
        <w:t xml:space="preserve"> 57 (2): 221–34.</w:t>
      </w:r>
    </w:p>
    <w:p w:rsidR="002254A7" w:rsidRDefault="00667866">
      <w:pPr>
        <w:pStyle w:val="Bibliography"/>
      </w:pPr>
      <w:bookmarkStart w:id="32" w:name="ref-dagum1977anm"/>
      <w:bookmarkEnd w:id="31"/>
      <w:r>
        <w:t xml:space="preserve">Dagum, Camilo. 1977. </w:t>
      </w:r>
      <w:r>
        <w:rPr>
          <w:i/>
          <w:iCs/>
        </w:rPr>
        <w:t>Economie Appliquee</w:t>
      </w:r>
      <w:r>
        <w:t>, no. 30: 413–37.</w:t>
      </w:r>
    </w:p>
    <w:p w:rsidR="002254A7" w:rsidRDefault="00667866">
      <w:pPr>
        <w:pStyle w:val="Bibliography"/>
      </w:pPr>
      <w:bookmarkStart w:id="33" w:name="ref-dey2017dagum"/>
      <w:bookmarkEnd w:id="32"/>
      <w:r>
        <w:t xml:space="preserve">Dey, Sanku, Bander Al-Zahrani, and Samerah Basloom. 2017. “Dagum Distribution: Properties and Different Methods of Estimation.” </w:t>
      </w:r>
      <w:r>
        <w:rPr>
          <w:i/>
          <w:iCs/>
        </w:rPr>
        <w:t>International Journal of Statistics and P</w:t>
      </w:r>
      <w:r>
        <w:rPr>
          <w:i/>
          <w:iCs/>
        </w:rPr>
        <w:t>robability</w:t>
      </w:r>
      <w:r>
        <w:t xml:space="preserve"> 6 (2): 74–92.</w:t>
      </w:r>
    </w:p>
    <w:p w:rsidR="002254A7" w:rsidRDefault="00667866">
      <w:pPr>
        <w:pStyle w:val="Bibliography"/>
      </w:pPr>
      <w:bookmarkStart w:id="34" w:name="ref-fazal2014dead"/>
      <w:bookmarkEnd w:id="33"/>
      <w:r>
        <w:t xml:space="preserve">Fazal, Tanisha M. 2014. “Dead Wrong?: Battle Deaths, Military Medicine, and Exaggerated Reports of War’s Demise.” </w:t>
      </w:r>
      <w:r>
        <w:rPr>
          <w:i/>
          <w:iCs/>
        </w:rPr>
        <w:t>International Security</w:t>
      </w:r>
      <w:r>
        <w:t xml:space="preserve"> 39 (1): 95–125.</w:t>
      </w:r>
    </w:p>
    <w:p w:rsidR="002254A7" w:rsidRDefault="00667866">
      <w:pPr>
        <w:pStyle w:val="Bibliography"/>
      </w:pPr>
      <w:bookmarkStart w:id="35" w:name="ref-gaddis1986long"/>
      <w:bookmarkEnd w:id="34"/>
      <w:r>
        <w:t>Gaddis, John Lewis. 1986. “The Long Peace: Elements of Stability in the Postwa</w:t>
      </w:r>
      <w:r>
        <w:t xml:space="preserve">r International System.” </w:t>
      </w:r>
      <w:r>
        <w:rPr>
          <w:i/>
          <w:iCs/>
        </w:rPr>
        <w:t>International Security</w:t>
      </w:r>
      <w:r>
        <w:t xml:space="preserve"> 10 (4): 99–142.</w:t>
      </w:r>
    </w:p>
    <w:p w:rsidR="002254A7" w:rsidRDefault="00667866">
      <w:pPr>
        <w:pStyle w:val="Bibliography"/>
      </w:pPr>
      <w:bookmarkStart w:id="36" w:name="ref-gibler2024militarized"/>
      <w:bookmarkEnd w:id="35"/>
      <w:r>
        <w:t xml:space="preserve">Gibler, Douglas M, and Steven V Miller. 2024. “The Militarized Interstate Events (MIE) Dataset, 1816–2014.” </w:t>
      </w:r>
      <w:r>
        <w:rPr>
          <w:i/>
          <w:iCs/>
        </w:rPr>
        <w:t>Conflict Management and Peace Science</w:t>
      </w:r>
      <w:r>
        <w:t xml:space="preserve"> 41 (4): 463–81.</w:t>
      </w:r>
    </w:p>
    <w:p w:rsidR="002254A7" w:rsidRDefault="00667866">
      <w:pPr>
        <w:pStyle w:val="Bibliography"/>
      </w:pPr>
      <w:bookmarkStart w:id="37" w:name="ref-kleiber2008guide"/>
      <w:bookmarkEnd w:id="36"/>
      <w:r>
        <w:t>Kleiber, Christian. 2008. “A G</w:t>
      </w:r>
      <w:r>
        <w:t xml:space="preserve">uide to the Dagum Distributions.” In </w:t>
      </w:r>
      <w:r>
        <w:rPr>
          <w:i/>
          <w:iCs/>
        </w:rPr>
        <w:t>Modeling Income Distributions and Lorenz Curves</w:t>
      </w:r>
      <w:r>
        <w:t>, 97–117. Springer.</w:t>
      </w:r>
    </w:p>
    <w:p w:rsidR="002254A7" w:rsidRDefault="00667866">
      <w:pPr>
        <w:pStyle w:val="Bibliography"/>
      </w:pPr>
      <w:bookmarkStart w:id="38" w:name="ref-kleiber2003statistical"/>
      <w:bookmarkEnd w:id="37"/>
      <w:r>
        <w:t xml:space="preserve">Kleiber, Christian, and Samuel Kotz. 2003. </w:t>
      </w:r>
      <w:r>
        <w:rPr>
          <w:i/>
          <w:iCs/>
        </w:rPr>
        <w:t>Statistical Size Distributions in Economics and Actuarial Sciences</w:t>
      </w:r>
      <w:r>
        <w:t>. John Wiley &amp; Sons.</w:t>
      </w:r>
    </w:p>
    <w:p w:rsidR="002254A7" w:rsidRDefault="00667866">
      <w:pPr>
        <w:pStyle w:val="Bibliography"/>
      </w:pPr>
      <w:bookmarkStart w:id="39" w:name="ref-klugman2012loss"/>
      <w:bookmarkEnd w:id="38"/>
      <w:r>
        <w:t>Klugman, Stuart A, Har</w:t>
      </w:r>
      <w:r>
        <w:t xml:space="preserve">ry H Panjer, and Gordon E Willmot. 2012. </w:t>
      </w:r>
      <w:r>
        <w:rPr>
          <w:i/>
          <w:iCs/>
        </w:rPr>
        <w:t>Loss Models: From Data to Decisions</w:t>
      </w:r>
      <w:r>
        <w:t>. Vol. 715. John Wiley &amp; Sons.</w:t>
      </w:r>
    </w:p>
    <w:p w:rsidR="002254A7" w:rsidRDefault="00667866">
      <w:pPr>
        <w:pStyle w:val="Bibliography"/>
      </w:pPr>
      <w:bookmarkStart w:id="40" w:name="ref-marshalletal2017p"/>
      <w:bookmarkEnd w:id="39"/>
      <w:r>
        <w:t>Marshall, Monty G., Ted Robert Gurr, and Keith Jaggers. 2017. “Polity IV Project: Political Regime Characteristics and Transitions, 1800-2016.”</w:t>
      </w:r>
    </w:p>
    <w:p w:rsidR="002254A7" w:rsidRDefault="00667866">
      <w:pPr>
        <w:pStyle w:val="Bibliography"/>
      </w:pPr>
      <w:bookmarkStart w:id="41" w:name="ref-nelder1965simplex"/>
      <w:bookmarkEnd w:id="40"/>
      <w:r>
        <w:t>Nelde</w:t>
      </w:r>
      <w:r>
        <w:t xml:space="preserve">r, John A, and Roger Mead. 1965. “A Simplex Method for Function Minimization.” </w:t>
      </w:r>
      <w:r>
        <w:rPr>
          <w:i/>
          <w:iCs/>
        </w:rPr>
        <w:t>The Computer Journal</w:t>
      </w:r>
      <w:r>
        <w:t xml:space="preserve"> 7 (4): 308–13.</w:t>
      </w:r>
    </w:p>
    <w:p w:rsidR="002254A7" w:rsidRDefault="00667866">
      <w:pPr>
        <w:pStyle w:val="Bibliography"/>
      </w:pPr>
      <w:bookmarkStart w:id="42" w:name="ref-pinker2011"/>
      <w:bookmarkEnd w:id="41"/>
      <w:r>
        <w:t xml:space="preserve">Pinker, Steven. 2011. </w:t>
      </w:r>
      <w:r>
        <w:rPr>
          <w:i/>
          <w:iCs/>
        </w:rPr>
        <w:t>The Better Angels of Our Nature: Why Violence Has Declined</w:t>
      </w:r>
      <w:r>
        <w:t>. New York: Viking Adult.</w:t>
      </w:r>
    </w:p>
    <w:p w:rsidR="002254A7" w:rsidRDefault="00667866">
      <w:pPr>
        <w:pStyle w:val="Bibliography"/>
      </w:pPr>
      <w:bookmarkStart w:id="43" w:name="ref-richardson1948"/>
      <w:bookmarkEnd w:id="42"/>
      <w:r>
        <w:t xml:space="preserve">Richardson, Lewis F. 1948. </w:t>
      </w:r>
      <w:r>
        <w:t xml:space="preserve">“Variation of the Frequency of Fatal Quarels with Magnitude.” </w:t>
      </w:r>
      <w:r>
        <w:rPr>
          <w:i/>
          <w:iCs/>
        </w:rPr>
        <w:t>American Statistical Association</w:t>
      </w:r>
      <w:r>
        <w:t xml:space="preserve"> 43: 523–46.</w:t>
      </w:r>
    </w:p>
    <w:p w:rsidR="002254A7" w:rsidRDefault="00667866">
      <w:pPr>
        <w:pStyle w:val="Bibliography"/>
      </w:pPr>
      <w:bookmarkStart w:id="44" w:name="ref-richardson1960"/>
      <w:bookmarkEnd w:id="43"/>
      <w:r>
        <w:t xml:space="preserve">———. 1960. </w:t>
      </w:r>
      <w:r>
        <w:rPr>
          <w:i/>
          <w:iCs/>
        </w:rPr>
        <w:t>Statistics of Deadly Quarels</w:t>
      </w:r>
      <w:r>
        <w:t>. Chicago: Quadrangle Books.</w:t>
      </w:r>
    </w:p>
    <w:p w:rsidR="002254A7" w:rsidRDefault="00667866">
      <w:pPr>
        <w:pStyle w:val="Bibliography"/>
      </w:pPr>
      <w:bookmarkStart w:id="45" w:name="ref-sarkeeswayman2010rw"/>
      <w:bookmarkEnd w:id="44"/>
      <w:r>
        <w:t xml:space="preserve">Sarkees, Meredith Reid, and Frank Wayman. 2010. </w:t>
      </w:r>
      <w:r>
        <w:rPr>
          <w:i/>
          <w:iCs/>
        </w:rPr>
        <w:t>Resort to War: 1816 - 2007</w:t>
      </w:r>
      <w:r>
        <w:t>. Washi</w:t>
      </w:r>
      <w:r>
        <w:t>ngton DC: CQ Press.</w:t>
      </w:r>
    </w:p>
    <w:p w:rsidR="002254A7" w:rsidRDefault="00667866">
      <w:pPr>
        <w:pStyle w:val="Bibliography"/>
      </w:pPr>
      <w:bookmarkStart w:id="46" w:name="ref-singer1987rcwd"/>
      <w:bookmarkEnd w:id="45"/>
      <w:r>
        <w:t xml:space="preserve">Singer, David J. 1987. “Reconstructing the Correlates of War Dataset on Material Capabilities of States, 1816-1985.” </w:t>
      </w:r>
      <w:r>
        <w:rPr>
          <w:i/>
          <w:iCs/>
        </w:rPr>
        <w:t>International Interactions</w:t>
      </w:r>
      <w:r>
        <w:t xml:space="preserve"> 14 (1): 115–32.</w:t>
      </w:r>
    </w:p>
    <w:p w:rsidR="002254A7" w:rsidRDefault="00667866">
      <w:pPr>
        <w:pStyle w:val="Bibliography"/>
      </w:pPr>
      <w:bookmarkStart w:id="47" w:name="ref-singeretal1972cdu"/>
      <w:bookmarkEnd w:id="46"/>
      <w:r>
        <w:t>Singer, J. David, Stuart A. Bremer, and John Stuckey. 1972. “Capability Dist</w:t>
      </w:r>
      <w:r>
        <w:t xml:space="preserve">ribution, Uncertainty, and Major Power War, 1820-1965.” In </w:t>
      </w:r>
      <w:r>
        <w:rPr>
          <w:i/>
          <w:iCs/>
        </w:rPr>
        <w:t>Peace, War and Numbers</w:t>
      </w:r>
      <w:r>
        <w:t>, edited by Bruce Russett. Beverly Hills, CA: Sage Publications, Inc.</w:t>
      </w:r>
    </w:p>
    <w:p w:rsidR="002254A7" w:rsidRDefault="00667866">
      <w:pPr>
        <w:pStyle w:val="Bibliography"/>
      </w:pPr>
      <w:bookmarkStart w:id="48" w:name="ref-spagat2018fundamental"/>
      <w:bookmarkEnd w:id="47"/>
      <w:r>
        <w:t>Spagat, Michael, Neil F Johnson, and Stijn van Weezel. 2018. “Fundamental Patterns and Predictions of Eve</w:t>
      </w:r>
      <w:r>
        <w:t xml:space="preserve">nt Size Distributions in Modern Wars and Terrorist Campaigns.” </w:t>
      </w:r>
      <w:r>
        <w:rPr>
          <w:i/>
          <w:iCs/>
        </w:rPr>
        <w:t>PloS One</w:t>
      </w:r>
      <w:r>
        <w:t xml:space="preserve"> 13 (10): e0204639.</w:t>
      </w:r>
    </w:p>
    <w:p w:rsidR="002254A7" w:rsidRDefault="00667866">
      <w:pPr>
        <w:pStyle w:val="Bibliography"/>
      </w:pPr>
      <w:bookmarkStart w:id="49" w:name="ref-spagat2020decline"/>
      <w:bookmarkEnd w:id="48"/>
      <w:r>
        <w:t xml:space="preserve">Spagat, Michael, and Stijn van Weezel. 2020. “The Decline of War Since 1950: New Evidence.” In </w:t>
      </w:r>
      <w:r>
        <w:rPr>
          <w:i/>
          <w:iCs/>
        </w:rPr>
        <w:t>Lewis Fry Richardson: His Intellectual Legacy and Influence in the Soc</w:t>
      </w:r>
      <w:r>
        <w:rPr>
          <w:i/>
          <w:iCs/>
        </w:rPr>
        <w:t>ial Sciences</w:t>
      </w:r>
      <w:r>
        <w:t>, edited by Nils Peter Gleditsch, 129–42. Springer.</w:t>
      </w:r>
    </w:p>
    <w:p w:rsidR="002254A7" w:rsidRDefault="00667866">
      <w:pPr>
        <w:pStyle w:val="Bibliography"/>
      </w:pPr>
      <w:bookmarkStart w:id="50" w:name="ref-weisiger2013logics"/>
      <w:bookmarkEnd w:id="49"/>
      <w:r>
        <w:t xml:space="preserve">Weisiger, Alex. 2013. </w:t>
      </w:r>
      <w:r>
        <w:rPr>
          <w:i/>
          <w:iCs/>
        </w:rPr>
        <w:t>Logics of War: Explanations for Limited and Unlimited Conflicts</w:t>
      </w:r>
      <w:r>
        <w:t>. Cornell University Press.</w:t>
      </w:r>
    </w:p>
    <w:p w:rsidR="002254A7" w:rsidRDefault="00667866">
      <w:pPr>
        <w:pStyle w:val="Bibliography"/>
      </w:pPr>
      <w:bookmarkStart w:id="51" w:name="ref-wright1942study"/>
      <w:bookmarkEnd w:id="50"/>
      <w:r>
        <w:t xml:space="preserve">Wright, Quincy, and Louise Leonard Wright. 1942. </w:t>
      </w:r>
      <w:r>
        <w:rPr>
          <w:i/>
          <w:iCs/>
        </w:rPr>
        <w:t>A Study of War</w:t>
      </w:r>
      <w:r>
        <w:t xml:space="preserve">. University of </w:t>
      </w:r>
      <w:r>
        <w:t>Chicago Press.</w:t>
      </w:r>
      <w:bookmarkEnd w:id="20"/>
      <w:bookmarkEnd w:id="22"/>
      <w:bookmarkEnd w:id="51"/>
    </w:p>
    <w:sectPr w:rsidR="002254A7">
      <w:footerReference w:type="default" r:id="rId2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7866" w:rsidRDefault="00667866">
      <w:pPr>
        <w:spacing w:after="0"/>
      </w:pPr>
      <w:r>
        <w:separator/>
      </w:r>
    </w:p>
  </w:endnote>
  <w:endnote w:type="continuationSeparator" w:id="0">
    <w:p w:rsidR="00667866" w:rsidRDefault="006678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3285314"/>
      <w:docPartObj>
        <w:docPartGallery w:val="Page Numbers (Bottom of Page)"/>
        <w:docPartUnique/>
      </w:docPartObj>
    </w:sdtPr>
    <w:sdtEndPr>
      <w:rPr>
        <w:noProof/>
      </w:rPr>
    </w:sdtEndPr>
    <w:sdtContent>
      <w:p w:rsidR="00F21051" w:rsidRDefault="00F21051">
        <w:pPr>
          <w:pStyle w:val="Footer"/>
          <w:jc w:val="center"/>
        </w:pPr>
        <w:r>
          <w:fldChar w:fldCharType="begin"/>
        </w:r>
        <w:r>
          <w:instrText xml:space="preserve"> PAGE   \* MERGEFORMAT </w:instrText>
        </w:r>
        <w:r>
          <w:fldChar w:fldCharType="separate"/>
        </w:r>
        <w:r w:rsidR="00667866">
          <w:rPr>
            <w:noProof/>
          </w:rPr>
          <w:t>1</w:t>
        </w:r>
        <w:r>
          <w:rPr>
            <w:noProof/>
          </w:rPr>
          <w:fldChar w:fldCharType="end"/>
        </w:r>
      </w:p>
    </w:sdtContent>
  </w:sdt>
  <w:p w:rsidR="00F21051" w:rsidRDefault="00F210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7866" w:rsidRDefault="00667866">
      <w:pPr>
        <w:spacing w:after="0"/>
      </w:pPr>
      <w:r>
        <w:separator/>
      </w:r>
    </w:p>
  </w:footnote>
  <w:footnote w:type="continuationSeparator" w:id="0">
    <w:p w:rsidR="00667866" w:rsidRDefault="00667866">
      <w:pPr>
        <w:spacing w:after="0"/>
      </w:pPr>
      <w:r>
        <w:continuationSeparator/>
      </w:r>
    </w:p>
  </w:footnote>
  <w:footnote w:id="1">
    <w:p w:rsidR="002254A7" w:rsidRDefault="00667866">
      <w:pPr>
        <w:pStyle w:val="FootnoteText"/>
      </w:pPr>
      <w:r>
        <w:rPr>
          <w:rStyle w:val="FootnoteReference"/>
        </w:rPr>
        <w:footnoteRef/>
      </w:r>
      <w:r>
        <w:t xml:space="preserve"> These variables originate from the Polity Project dataset </w:t>
      </w:r>
      <w:r>
        <w:t>(Marshall, Gurr, and Jaggers 2017) and population data comes from the National Military Capabilities dataset (D. J. Singer 1987; J. D. Singer, Bremer, and Stuckey 1972).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061"/>
    <w:rsid w:val="001D0061"/>
    <w:rsid w:val="002254A7"/>
    <w:rsid w:val="00246C97"/>
    <w:rsid w:val="0030510A"/>
    <w:rsid w:val="0052117A"/>
    <w:rsid w:val="005339AC"/>
    <w:rsid w:val="00667866"/>
    <w:rsid w:val="006C63E7"/>
    <w:rsid w:val="00723D19"/>
    <w:rsid w:val="007E0ACD"/>
    <w:rsid w:val="008141DF"/>
    <w:rsid w:val="00964936"/>
    <w:rsid w:val="009A6187"/>
    <w:rsid w:val="00AC6758"/>
    <w:rsid w:val="00DE7A3E"/>
    <w:rsid w:val="00E95CF7"/>
    <w:rsid w:val="00F21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84D753-5279-4884-9F91-82940F325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758"/>
    <w:rPr>
      <w:rFonts w:ascii="Palatino Linotype" w:hAnsi="Palatino Linotype"/>
    </w:rPr>
  </w:style>
  <w:style w:type="paragraph" w:styleId="Heading1">
    <w:name w:val="heading 1"/>
    <w:basedOn w:val="Normal"/>
    <w:next w:val="BodyText"/>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Heading2">
    <w:name w:val="heading 2"/>
    <w:basedOn w:val="Normal"/>
    <w:next w:val="BodyText"/>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Heading3">
    <w:name w:val="heading 3"/>
    <w:basedOn w:val="Normal"/>
    <w:next w:val="BodyText"/>
    <w:autoRedefine/>
    <w:uiPriority w:val="9"/>
    <w:unhideWhenUsed/>
    <w:qFormat/>
    <w:rsid w:val="00AC6758"/>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BodyText"/>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rsid w:val="00AC6758"/>
    <w:pPr>
      <w:spacing w:before="60" w:after="60" w:line="360" w:lineRule="auto"/>
      <w:ind w:firstLine="720"/>
      <w:contextualSpacing/>
    </w:pPr>
  </w:style>
  <w:style w:type="paragraph" w:customStyle="1" w:styleId="FirstParagraph">
    <w:name w:val="First Paragraph"/>
    <w:basedOn w:val="BodyText"/>
    <w:next w:val="BodyText"/>
    <w:autoRedefine/>
    <w:qFormat/>
    <w:rsid w:val="00AC6758"/>
    <w:pPr>
      <w:ind w:firstLine="0"/>
    </w:pPr>
  </w:style>
  <w:style w:type="paragraph" w:customStyle="1" w:styleId="Compact">
    <w:name w:val="Compact"/>
    <w:basedOn w:val="BodyText"/>
    <w:autoRedefine/>
    <w:qFormat/>
    <w:rsid w:val="00AC6758"/>
    <w:pPr>
      <w:spacing w:before="0" w:after="0" w:line="240" w:lineRule="auto"/>
      <w:ind w:firstLine="0"/>
    </w:pPr>
    <w:rPr>
      <w:sz w:val="20"/>
    </w:rPr>
  </w:style>
  <w:style w:type="paragraph" w:styleId="Title">
    <w:name w:val="Title"/>
    <w:basedOn w:val="Normal"/>
    <w:next w:val="BodyText"/>
    <w:autoRedefine/>
    <w:qFormat/>
    <w:rsid w:val="00AC6758"/>
    <w:pPr>
      <w:keepNext/>
      <w:keepLines/>
      <w:spacing w:before="480" w:after="240"/>
    </w:pPr>
    <w:rPr>
      <w:rFonts w:eastAsiaTheme="majorEastAsia" w:cstheme="majorBidi"/>
      <w:b/>
      <w:bCs/>
      <w:sz w:val="36"/>
      <w:szCs w:val="36"/>
    </w:rPr>
  </w:style>
  <w:style w:type="paragraph" w:styleId="Subtitle">
    <w:name w:val="Subtitle"/>
    <w:basedOn w:val="Title"/>
    <w:next w:val="BodyText"/>
    <w:autoRedefine/>
    <w:qFormat/>
    <w:rsid w:val="00AC6758"/>
    <w:pPr>
      <w:spacing w:before="240"/>
      <w:jc w:val="center"/>
    </w:pPr>
    <w:rPr>
      <w:sz w:val="30"/>
      <w:szCs w:val="30"/>
    </w:rPr>
  </w:style>
  <w:style w:type="paragraph" w:customStyle="1" w:styleId="Author">
    <w:name w:val="Author"/>
    <w:next w:val="BodyText"/>
    <w:autoRedefine/>
    <w:qFormat/>
    <w:rsid w:val="00AC6758"/>
    <w:pPr>
      <w:keepNext/>
      <w:keepLines/>
    </w:pPr>
    <w:rPr>
      <w:rFonts w:ascii="Arial Black" w:hAnsi="Arial Black"/>
    </w:rPr>
  </w:style>
  <w:style w:type="paragraph" w:styleId="Date">
    <w:name w:val="Date"/>
    <w:next w:val="BodyText"/>
    <w:autoRedefine/>
    <w:qFormat/>
    <w:rsid w:val="00AC6758"/>
    <w:pPr>
      <w:keepNext/>
      <w:keepLines/>
    </w:pPr>
  </w:style>
  <w:style w:type="paragraph" w:customStyle="1" w:styleId="Abstract">
    <w:name w:val="Abstract"/>
    <w:basedOn w:val="Normal"/>
    <w:next w:val="BodyText"/>
    <w:autoRedefine/>
    <w:qFormat/>
    <w:rsid w:val="00AC6758"/>
    <w:pPr>
      <w:keepNext/>
      <w:keepLines/>
      <w:spacing w:before="300" w:after="300"/>
    </w:pPr>
    <w:rPr>
      <w:sz w:val="20"/>
      <w:szCs w:val="20"/>
    </w:rPr>
  </w:style>
  <w:style w:type="paragraph" w:styleId="Bibliography">
    <w:name w:val="Bibliography"/>
    <w:basedOn w:val="Normal"/>
    <w:autoRedefine/>
    <w:qFormat/>
    <w:rsid w:val="00AC6758"/>
  </w:style>
  <w:style w:type="paragraph" w:styleId="BlockText">
    <w:name w:val="Block Text"/>
    <w:basedOn w:val="BodyText"/>
    <w:next w:val="BodyText"/>
    <w:uiPriority w:val="9"/>
    <w:unhideWhenUsed/>
    <w:qFormat/>
    <w:rsid w:val="00AC6758"/>
    <w:pPr>
      <w:spacing w:before="100" w:after="100"/>
      <w:ind w:left="480" w:right="480"/>
    </w:pPr>
  </w:style>
  <w:style w:type="paragraph" w:styleId="FootnoteText">
    <w:name w:val="footnote text"/>
    <w:basedOn w:val="Normal"/>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unhideWhenUsed/>
    <w:rsid w:val="00F21051"/>
    <w:pPr>
      <w:tabs>
        <w:tab w:val="center" w:pos="4680"/>
        <w:tab w:val="right" w:pos="9360"/>
      </w:tabs>
      <w:spacing w:after="0"/>
    </w:pPr>
  </w:style>
  <w:style w:type="character" w:customStyle="1" w:styleId="HeaderChar">
    <w:name w:val="Header Char"/>
    <w:basedOn w:val="DefaultParagraphFont"/>
    <w:link w:val="Header"/>
    <w:rsid w:val="00F21051"/>
    <w:rPr>
      <w:rFonts w:ascii="Palatino Linotype" w:hAnsi="Palatino Linotype"/>
    </w:rPr>
  </w:style>
  <w:style w:type="paragraph" w:styleId="Footer">
    <w:name w:val="footer"/>
    <w:basedOn w:val="Normal"/>
    <w:link w:val="FooterChar"/>
    <w:uiPriority w:val="99"/>
    <w:unhideWhenUsed/>
    <w:rsid w:val="00F21051"/>
    <w:pPr>
      <w:tabs>
        <w:tab w:val="center" w:pos="4680"/>
        <w:tab w:val="right" w:pos="9360"/>
      </w:tabs>
      <w:spacing w:after="0"/>
    </w:pPr>
  </w:style>
  <w:style w:type="character" w:customStyle="1" w:styleId="FooterChar">
    <w:name w:val="Footer Char"/>
    <w:basedOn w:val="DefaultParagraphFont"/>
    <w:link w:val="Footer"/>
    <w:uiPriority w:val="99"/>
    <w:rsid w:val="00F21051"/>
    <w:rPr>
      <w:rFonts w:ascii="Palatino Linotype" w:hAnsi="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34</Pages>
  <Words>7593</Words>
  <Characters>43286</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An Actuary Walks into a War Room: Introducing the {actuwar} R Package</vt:lpstr>
    </vt:vector>
  </TitlesOfParts>
  <Company/>
  <LinksUpToDate>false</LinksUpToDate>
  <CharactersWithSpaces>50778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Actuary Walks into a War Room: Introducing the {actuwar} R Package</dc:title>
  <dc:creator>Miles D. Williams</dc:creator>
  <cp:keywords/>
  <cp:lastModifiedBy>Miles Williams</cp:lastModifiedBy>
  <cp:revision>3</cp:revision>
  <dcterms:created xsi:type="dcterms:W3CDTF">2025-12-17T14:50:00Z</dcterms:created>
  <dcterms:modified xsi:type="dcterms:W3CDTF">2025-12-17T14:51:00Z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Developing statistical models of war deaths is challenging due to the thick-tailed distribution of fatalities. Recent work shows that the inverse Burr model, an approach from actuarial science, offers features well suited to studying war size while avoidi</vt:lpwstr>
  </property>
  <property fmtid="{D5CDD505-2E9C-101B-9397-08002B2CF9AE}" pid="3" name="authors">
    <vt:lpwstr/>
  </property>
  <property fmtid="{D5CDD505-2E9C-101B-9397-08002B2CF9AE}" pid="4" name="biblio-config">
    <vt:lpwstr>True</vt:lpwstr>
  </property>
  <property fmtid="{D5CDD505-2E9C-101B-9397-08002B2CF9AE}" pid="5" name="bibliography">
    <vt:lpwstr>ref.bib</vt:lpwstr>
  </property>
  <property fmtid="{D5CDD505-2E9C-101B-9397-08002B2CF9AE}" pid="6" name="by-author">
    <vt:lpwstr/>
  </property>
  <property fmtid="{D5CDD505-2E9C-101B-9397-08002B2CF9AE}" pid="7" name="date">
    <vt:lpwstr>2025-12-17</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number-depth">
    <vt:lpwstr>3</vt:lpwstr>
  </property>
  <property fmtid="{D5CDD505-2E9C-101B-9397-08002B2CF9AE}" pid="14" name="toc-title">
    <vt:lpwstr>Table of contents</vt:lpwstr>
  </property>
</Properties>
</file>