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6E08" w:rsidRDefault="00031549" w:rsidP="00F4481C">
      <w:r w:rsidRPr="00726E08">
        <w:t>Brooklyn College</w:t>
      </w:r>
    </w:p>
    <w:p w:rsidR="008073DF" w:rsidRPr="00726E08" w:rsidRDefault="00031549" w:rsidP="00F4481C">
      <w:r w:rsidRPr="00726E08">
        <w:t>Fall 2017</w:t>
      </w:r>
    </w:p>
    <w:p w:rsidR="008073DF" w:rsidRPr="00726E08" w:rsidRDefault="008073DF" w:rsidP="00F4481C"/>
    <w:p w:rsidR="00726E08" w:rsidRDefault="00031549" w:rsidP="00F4481C">
      <w:r w:rsidRPr="00726E08">
        <w:t>Instructor: Joseph Henry</w:t>
      </w:r>
    </w:p>
    <w:p w:rsidR="008073DF" w:rsidRPr="00726E08" w:rsidRDefault="00131034" w:rsidP="00F4481C">
      <w:pPr>
        <w:rPr>
          <w:rStyle w:val="Hyperlink"/>
        </w:rPr>
      </w:pPr>
      <w:hyperlink r:id="rId7">
        <w:r w:rsidR="00031549" w:rsidRPr="00726E08">
          <w:rPr>
            <w:rStyle w:val="Hyperlink"/>
          </w:rPr>
          <w:t>jhenry@gradcenter.cuny.edu</w:t>
        </w:r>
      </w:hyperlink>
    </w:p>
    <w:p w:rsidR="008073DF" w:rsidRDefault="008073DF" w:rsidP="00F4481C"/>
    <w:p w:rsidR="008073DF" w:rsidRDefault="00031549" w:rsidP="00F4481C">
      <w:pPr>
        <w:pStyle w:val="Title"/>
      </w:pPr>
      <w:r w:rsidRPr="00726E08">
        <w:t>ARTD</w:t>
      </w:r>
      <w:r>
        <w:t>.1010 – Art: Its History and Meaning</w:t>
      </w:r>
    </w:p>
    <w:p w:rsidR="008073DF" w:rsidRDefault="00031549" w:rsidP="00F4481C">
      <w:r w:rsidRPr="00726E08">
        <w:rPr>
          <w:u w:val="single"/>
        </w:rPr>
        <w:t>Overview</w:t>
      </w:r>
      <w:r>
        <w:t>:</w:t>
      </w:r>
    </w:p>
    <w:p w:rsidR="008073DF" w:rsidRDefault="008073DF" w:rsidP="00F4481C"/>
    <w:p w:rsidR="008073DF" w:rsidRDefault="00031549" w:rsidP="00F4481C">
      <w:r>
        <w:t>This course introduces students to the visual arts, applied arts, and architecture of the world from the ancient period to the present day. Our goal is less to gain a proper “introduction” to art history than to understand how images and things construct culture as such. Through thematic lectures, frequent short writing assignments, and in- class participation, students will explore how aesthetic form can shape historical dynamics such as political power, religious belief, cultural identity, notions of temporality, the public sphere, understandings of the body, the avant-garde, and the ontological status of objects. Although we’ll practice art historical interpretive techniques and methods, we’ll also draw on basic concepts across the social sciences</w:t>
      </w:r>
      <w:r>
        <w:rPr>
          <w:spacing w:val="-14"/>
        </w:rPr>
        <w:t xml:space="preserve"> </w:t>
      </w:r>
      <w:r>
        <w:t>and humanities for our broad</w:t>
      </w:r>
      <w:r>
        <w:rPr>
          <w:spacing w:val="-5"/>
        </w:rPr>
        <w:t xml:space="preserve"> </w:t>
      </w:r>
      <w:r>
        <w:t>scope.</w:t>
      </w:r>
    </w:p>
    <w:p w:rsidR="008073DF" w:rsidRDefault="008073DF" w:rsidP="00F4481C"/>
    <w:p w:rsidR="008073DF" w:rsidRDefault="00031549" w:rsidP="00F4481C">
      <w:r w:rsidRPr="00726E08">
        <w:rPr>
          <w:u w:val="single"/>
        </w:rPr>
        <w:t>Evaluation</w:t>
      </w:r>
      <w:r>
        <w:t>:</w:t>
      </w:r>
    </w:p>
    <w:p w:rsidR="008073DF" w:rsidRDefault="008073DF" w:rsidP="00F4481C"/>
    <w:p w:rsidR="008073DF" w:rsidRPr="00726E08" w:rsidRDefault="00031549" w:rsidP="00F4481C">
      <w:r w:rsidRPr="00726E08">
        <w:t>Students will be expected to read all assigned material and come to class prepared to participate in discussion. Evaluation will consist of five, 500-word writing assignments, a revised version of any one of these assignments, and a final exam. The final grade will also factor in student participation and attendance</w:t>
      </w:r>
    </w:p>
    <w:p w:rsidR="008073DF" w:rsidRDefault="008073DF" w:rsidP="00F4481C"/>
    <w:p w:rsidR="008073DF" w:rsidRDefault="00031549" w:rsidP="00F4481C">
      <w:r>
        <w:t>Each writing assignment tackles a different skill; the first asks students to conduct an “instinctual” analysis based on their feelings and questions toward a work of art; the second, a close formal analysis of an object; the third, an historical analysis of an object; the fourth, an architectural analysis of a building in their neighborhood; and the fifth, a comparison between two works. Toward the end of the semester, students will submit a</w:t>
      </w:r>
      <w:r w:rsidR="00F4481C">
        <w:t xml:space="preserve"> </w:t>
      </w:r>
      <w:r>
        <w:t>revision of one of these assignments following a peer-editing process. More detailed instructions regarding these assignments will be conveyed as the semester progresses.</w:t>
      </w:r>
    </w:p>
    <w:p w:rsidR="008073DF" w:rsidRDefault="008073DF" w:rsidP="00F4481C"/>
    <w:p w:rsidR="008073DF" w:rsidRDefault="00031549" w:rsidP="00F4481C">
      <w:r>
        <w:t xml:space="preserve">To encourage a relaxed and habitual attitude toward writing, these short essays will be graded casually and generously. However, </w:t>
      </w:r>
      <w:r>
        <w:rPr>
          <w:i/>
        </w:rPr>
        <w:t>no late work will be accepted</w:t>
      </w:r>
      <w:r>
        <w:t>. The objective is to get you to practice writing while enforcing and developing academic skills and discipline.</w:t>
      </w:r>
    </w:p>
    <w:p w:rsidR="008073DF" w:rsidRDefault="008073DF" w:rsidP="00F4481C"/>
    <w:p w:rsidR="008073DF" w:rsidRDefault="00031549" w:rsidP="00F4481C">
      <w:r>
        <w:t xml:space="preserve">The final exam will cover the material of the entire semester. While the assignments will gauge your writing and interpretive skills, the final exam will measure how you’ve </w:t>
      </w:r>
      <w:r>
        <w:lastRenderedPageBreak/>
        <w:t>engaged with lecture material, followed our readings, and generally learned something about the cultures we’ll engage.</w:t>
      </w:r>
    </w:p>
    <w:p w:rsidR="008073DF" w:rsidRDefault="008073DF" w:rsidP="00F4481C"/>
    <w:p w:rsidR="008073DF" w:rsidRDefault="00031549" w:rsidP="00F4481C">
      <w:r>
        <w:t xml:space="preserve">Attendance will be measured sporadically to evaluate attendance, through role call or collected, in-class assignments. </w:t>
      </w:r>
      <w:r>
        <w:rPr>
          <w:i/>
        </w:rPr>
        <w:t>Coming to class more than 15 minutes late will be considered an absence</w:t>
      </w:r>
      <w:r>
        <w:t>. The final participation grade will be a holistic consideration of attendance, participation in class, consultation in office hours, and related activities.</w:t>
      </w:r>
    </w:p>
    <w:p w:rsidR="008073DF" w:rsidRDefault="008073DF" w:rsidP="00F4481C"/>
    <w:p w:rsidR="008073DF" w:rsidRDefault="00031549" w:rsidP="00F4481C">
      <w:r>
        <w:rPr>
          <w:w w:val="99"/>
        </w:rPr>
        <w:t>Grading</w:t>
      </w:r>
      <w:r>
        <w:t xml:space="preserve"> </w:t>
      </w:r>
      <w:r>
        <w:rPr>
          <w:w w:val="99"/>
        </w:rPr>
        <w:t>will</w:t>
      </w:r>
      <w:r>
        <w:t xml:space="preserve"> </w:t>
      </w:r>
      <w:r>
        <w:rPr>
          <w:w w:val="99"/>
        </w:rPr>
        <w:t>follow</w:t>
      </w:r>
      <w:r>
        <w:t xml:space="preserve"> a</w:t>
      </w:r>
      <w:r>
        <w:rPr>
          <w:spacing w:val="1"/>
        </w:rPr>
        <w:t xml:space="preserve"> </w:t>
      </w:r>
      <w:r>
        <w:rPr>
          <w:w w:val="99"/>
        </w:rPr>
        <w:t>standard</w:t>
      </w:r>
      <w:r>
        <w:t xml:space="preserve"> </w:t>
      </w:r>
      <w:r>
        <w:rPr>
          <w:w w:val="99"/>
        </w:rPr>
        <w:t>CUNY</w:t>
      </w:r>
      <w:r>
        <w:t xml:space="preserve"> </w:t>
      </w:r>
      <w:r>
        <w:rPr>
          <w:w w:val="99"/>
        </w:rPr>
        <w:t>scale</w:t>
      </w:r>
      <w:r>
        <w:t xml:space="preserve"> (A+:</w:t>
      </w:r>
      <w:r>
        <w:rPr>
          <w:spacing w:val="1"/>
        </w:rPr>
        <w:t xml:space="preserve"> </w:t>
      </w:r>
      <w:r>
        <w:rPr>
          <w:w w:val="99"/>
        </w:rPr>
        <w:t>97</w:t>
      </w:r>
      <w:r>
        <w:t xml:space="preserve"> - </w:t>
      </w:r>
      <w:r>
        <w:rPr>
          <w:smallCaps/>
          <w:w w:val="99"/>
        </w:rPr>
        <w:t>100%;</w:t>
      </w:r>
      <w:r>
        <w:t xml:space="preserve"> A: 93 - </w:t>
      </w:r>
      <w:r>
        <w:rPr>
          <w:w w:val="99"/>
        </w:rPr>
        <w:t>96%;</w:t>
      </w:r>
      <w:r>
        <w:t xml:space="preserve"> A-: 90 - </w:t>
      </w:r>
      <w:r>
        <w:rPr>
          <w:smallCaps/>
          <w:w w:val="99"/>
        </w:rPr>
        <w:t>92%;</w:t>
      </w:r>
    </w:p>
    <w:p w:rsidR="008073DF" w:rsidRDefault="00031549" w:rsidP="00F4481C">
      <w:r>
        <w:rPr>
          <w:w w:val="99"/>
        </w:rPr>
        <w:t>B+:</w:t>
      </w:r>
      <w:r>
        <w:rPr>
          <w:spacing w:val="-1"/>
          <w:w w:val="99"/>
        </w:rPr>
        <w:t xml:space="preserve"> </w:t>
      </w:r>
      <w:r>
        <w:rPr>
          <w:w w:val="99"/>
        </w:rPr>
        <w:t>87</w:t>
      </w:r>
      <w:r>
        <w:rPr>
          <w:spacing w:val="-1"/>
        </w:rPr>
        <w:t xml:space="preserve"> </w:t>
      </w:r>
      <w:r>
        <w:t>-</w:t>
      </w:r>
      <w:r>
        <w:rPr>
          <w:spacing w:val="-1"/>
        </w:rPr>
        <w:t xml:space="preserve"> </w:t>
      </w:r>
      <w:r>
        <w:rPr>
          <w:w w:val="99"/>
        </w:rPr>
        <w:t>89%;</w:t>
      </w:r>
      <w:r>
        <w:rPr>
          <w:spacing w:val="-1"/>
        </w:rPr>
        <w:t xml:space="preserve"> </w:t>
      </w:r>
      <w:r>
        <w:t>B:</w:t>
      </w:r>
      <w:r>
        <w:rPr>
          <w:spacing w:val="-1"/>
        </w:rPr>
        <w:t xml:space="preserve"> </w:t>
      </w:r>
      <w:r>
        <w:rPr>
          <w:w w:val="99"/>
        </w:rPr>
        <w:t>83</w:t>
      </w:r>
      <w:r>
        <w:rPr>
          <w:spacing w:val="-1"/>
        </w:rPr>
        <w:t xml:space="preserve"> </w:t>
      </w:r>
      <w:r>
        <w:t>-</w:t>
      </w:r>
      <w:r>
        <w:rPr>
          <w:spacing w:val="-1"/>
        </w:rPr>
        <w:t xml:space="preserve"> </w:t>
      </w:r>
      <w:r>
        <w:rPr>
          <w:w w:val="99"/>
        </w:rPr>
        <w:t>86;</w:t>
      </w:r>
      <w:r>
        <w:rPr>
          <w:spacing w:val="-1"/>
        </w:rPr>
        <w:t xml:space="preserve"> </w:t>
      </w:r>
      <w:r>
        <w:t>B-:</w:t>
      </w:r>
      <w:r>
        <w:rPr>
          <w:spacing w:val="-1"/>
        </w:rPr>
        <w:t xml:space="preserve"> </w:t>
      </w:r>
      <w:r>
        <w:rPr>
          <w:w w:val="99"/>
        </w:rPr>
        <w:t>80</w:t>
      </w:r>
      <w:r>
        <w:rPr>
          <w:spacing w:val="-1"/>
        </w:rPr>
        <w:t xml:space="preserve"> </w:t>
      </w:r>
      <w:r>
        <w:t>-</w:t>
      </w:r>
      <w:r>
        <w:rPr>
          <w:spacing w:val="-1"/>
        </w:rPr>
        <w:t xml:space="preserve"> </w:t>
      </w:r>
      <w:r>
        <w:rPr>
          <w:smallCaps/>
          <w:w w:val="99"/>
        </w:rPr>
        <w:t>82%;</w:t>
      </w:r>
      <w:r>
        <w:rPr>
          <w:spacing w:val="-1"/>
        </w:rPr>
        <w:t xml:space="preserve"> </w:t>
      </w:r>
      <w:r>
        <w:rPr>
          <w:w w:val="99"/>
        </w:rPr>
        <w:t>etc.).</w:t>
      </w:r>
    </w:p>
    <w:p w:rsidR="008073DF" w:rsidRDefault="008073DF" w:rsidP="00F4481C"/>
    <w:p w:rsidR="008073DF" w:rsidRDefault="00031549" w:rsidP="00746891">
      <w:pPr>
        <w:pStyle w:val="ListParagraph"/>
        <w:numPr>
          <w:ilvl w:val="0"/>
          <w:numId w:val="12"/>
        </w:numPr>
      </w:pPr>
      <w:r>
        <w:t xml:space="preserve">Assignments: 60% of the total grade </w:t>
      </w:r>
      <w:r w:rsidRPr="00F4481C">
        <w:rPr>
          <w:smallCaps/>
        </w:rPr>
        <w:t>(10%</w:t>
      </w:r>
      <w:r w:rsidRPr="00F4481C">
        <w:rPr>
          <w:spacing w:val="-8"/>
        </w:rPr>
        <w:t xml:space="preserve"> </w:t>
      </w:r>
      <w:r>
        <w:t>each)</w:t>
      </w:r>
    </w:p>
    <w:p w:rsidR="008073DF" w:rsidRDefault="00031549" w:rsidP="00746891">
      <w:pPr>
        <w:pStyle w:val="ListParagraph"/>
        <w:numPr>
          <w:ilvl w:val="0"/>
          <w:numId w:val="12"/>
        </w:numPr>
      </w:pPr>
      <w:r>
        <w:t>Final Exam: 30% of the total</w:t>
      </w:r>
      <w:r w:rsidRPr="00F4481C">
        <w:rPr>
          <w:spacing w:val="-7"/>
        </w:rPr>
        <w:t xml:space="preserve"> </w:t>
      </w:r>
      <w:r>
        <w:t>grade</w:t>
      </w:r>
    </w:p>
    <w:p w:rsidR="008073DF" w:rsidRDefault="00031549" w:rsidP="00746891">
      <w:pPr>
        <w:pStyle w:val="ListParagraph"/>
        <w:numPr>
          <w:ilvl w:val="0"/>
          <w:numId w:val="12"/>
        </w:numPr>
      </w:pPr>
      <w:r>
        <w:t xml:space="preserve">Participation: </w:t>
      </w:r>
      <w:r w:rsidRPr="00F4481C">
        <w:rPr>
          <w:smallCaps/>
        </w:rPr>
        <w:t>10%</w:t>
      </w:r>
      <w:r>
        <w:t xml:space="preserve"> of the total</w:t>
      </w:r>
      <w:r w:rsidRPr="00F4481C">
        <w:rPr>
          <w:spacing w:val="-6"/>
        </w:rPr>
        <w:t xml:space="preserve"> </w:t>
      </w:r>
      <w:r>
        <w:t>grade</w:t>
      </w:r>
    </w:p>
    <w:p w:rsidR="008073DF" w:rsidRDefault="008073DF" w:rsidP="00F4481C"/>
    <w:p w:rsidR="008073DF" w:rsidRDefault="00031549" w:rsidP="00F4481C">
      <w:r>
        <w:t>Students can receive extra-credit for attending scholarly lectures and other academic programs throughout the semester, including those at Brooklyn College. Such events can be found at websites such as Platform for Pedagogy (</w:t>
      </w:r>
      <w:r>
        <w:rPr>
          <w:i/>
        </w:rPr>
        <w:t>platformed.org</w:t>
      </w:r>
      <w:r>
        <w:t xml:space="preserve">) or at institutions like NYU’s Institute of Fine Arts. Students can receive </w:t>
      </w:r>
      <w:r>
        <w:rPr>
          <w:i/>
        </w:rPr>
        <w:t xml:space="preserve">one point </w:t>
      </w:r>
      <w:r>
        <w:t>if they</w:t>
      </w:r>
      <w:r>
        <w:rPr>
          <w:spacing w:val="-20"/>
        </w:rPr>
        <w:t xml:space="preserve"> </w:t>
      </w:r>
      <w:r>
        <w:t>write a 500-word description of the event’s content and provide some proof of attendance, such as a signature or picture. Potential extra-credit events should be run by me</w:t>
      </w:r>
      <w:r>
        <w:rPr>
          <w:spacing w:val="-16"/>
        </w:rPr>
        <w:t xml:space="preserve"> </w:t>
      </w:r>
      <w:r>
        <w:t>first.</w:t>
      </w:r>
    </w:p>
    <w:p w:rsidR="008073DF" w:rsidRDefault="008073DF" w:rsidP="00F4481C"/>
    <w:p w:rsidR="008073DF" w:rsidRDefault="00031549" w:rsidP="00F4481C">
      <w:r w:rsidRPr="00F4481C">
        <w:rPr>
          <w:rStyle w:val="Heading1Char"/>
        </w:rPr>
        <w:t>Class Content</w:t>
      </w:r>
      <w:r>
        <w:t>:</w:t>
      </w:r>
    </w:p>
    <w:p w:rsidR="008073DF" w:rsidRDefault="008073DF" w:rsidP="00F4481C"/>
    <w:p w:rsidR="008073DF" w:rsidRDefault="00031549" w:rsidP="00F4481C">
      <w:r>
        <w:t xml:space="preserve">Each lecture will be centered around a particular theme, such as “Power,” “Corporeality,” or “Critique.” These topics will help us situate the particular art under analysis in larger themes and even present-day cultural concerns. </w:t>
      </w:r>
      <w:r>
        <w:rPr>
          <w:i/>
        </w:rPr>
        <w:t>Readings will all be available online</w:t>
      </w:r>
      <w:r>
        <w:t xml:space="preserve">: they come mostly from the website </w:t>
      </w:r>
      <w:proofErr w:type="spellStart"/>
      <w:r>
        <w:t>Smarthistory</w:t>
      </w:r>
      <w:proofErr w:type="spellEnd"/>
      <w:r>
        <w:t xml:space="preserve"> and the Metropolitan Museum of Art’s </w:t>
      </w:r>
      <w:proofErr w:type="spellStart"/>
      <w:r>
        <w:t>Heilbrunn</w:t>
      </w:r>
      <w:proofErr w:type="spellEnd"/>
      <w:r>
        <w:t xml:space="preserve"> Timeline of Art History (hereafter abbreviated as “HTAH”).</w:t>
      </w:r>
    </w:p>
    <w:p w:rsidR="008073DF" w:rsidRDefault="008073DF" w:rsidP="00F4481C">
      <w:pPr>
        <w:sectPr w:rsidR="008073DF" w:rsidSect="00F4481C">
          <w:headerReference w:type="even" r:id="rId8"/>
          <w:headerReference w:type="default" r:id="rId9"/>
          <w:pgSz w:w="12240" w:h="15840"/>
          <w:pgMar w:top="1440" w:right="1440" w:bottom="1440" w:left="1440" w:header="721" w:footer="0" w:gutter="0"/>
          <w:cols w:space="720"/>
          <w:docGrid w:linePitch="326"/>
        </w:sectPr>
      </w:pPr>
    </w:p>
    <w:p w:rsidR="008073DF" w:rsidRDefault="00031549" w:rsidP="00F4481C">
      <w:r w:rsidRPr="00F4481C">
        <w:rPr>
          <w:rStyle w:val="Heading1Char"/>
        </w:rPr>
        <w:lastRenderedPageBreak/>
        <w:t>Classroom Courtesy</w:t>
      </w:r>
      <w:r>
        <w:t>:</w:t>
      </w:r>
    </w:p>
    <w:p w:rsidR="008073DF" w:rsidRDefault="008073DF" w:rsidP="00F4481C"/>
    <w:p w:rsidR="008073DF" w:rsidRDefault="00031549" w:rsidP="00F4481C">
      <w:r>
        <w:rPr>
          <w:i/>
        </w:rPr>
        <w:t>Computers will not be allowed during class</w:t>
      </w:r>
      <w:r>
        <w:t>: they not only distract your classmates but discourage the close, sustained looking required for each session. You should be able to bring notes on readings to class and to synthesize lecture material by hand. While I will not police cell phone use, constant texting or internet browsing will be noticed and taken into account for the participation grade. You are welcome to speak to me individually if any of these conditions poses issues.</w:t>
      </w:r>
    </w:p>
    <w:p w:rsidR="008073DF" w:rsidRDefault="00655A92" w:rsidP="00F4481C">
      <w:pPr>
        <w:rPr>
          <w:sz w:val="17"/>
        </w:rPr>
      </w:pPr>
      <w:r>
        <w:rPr>
          <w:noProof/>
        </w:rPr>
        <mc:AlternateContent>
          <mc:Choice Requires="wps">
            <w:drawing>
              <wp:anchor distT="0" distB="0" distL="0" distR="0" simplePos="0" relativeHeight="251664384" behindDoc="1" locked="0" layoutInCell="1" allowOverlap="1">
                <wp:simplePos x="0" y="0"/>
                <wp:positionH relativeFrom="page">
                  <wp:posOffset>914400</wp:posOffset>
                </wp:positionH>
                <wp:positionV relativeFrom="paragraph">
                  <wp:posOffset>154305</wp:posOffset>
                </wp:positionV>
                <wp:extent cx="592455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4550" cy="1270"/>
                        </a:xfrm>
                        <a:custGeom>
                          <a:avLst/>
                          <a:gdLst>
                            <a:gd name="T0" fmla="+- 0 1440 1440"/>
                            <a:gd name="T1" fmla="*/ T0 w 9330"/>
                            <a:gd name="T2" fmla="+- 0 10770 1440"/>
                            <a:gd name="T3" fmla="*/ T2 w 9330"/>
                          </a:gdLst>
                          <a:ahLst/>
                          <a:cxnLst>
                            <a:cxn ang="0">
                              <a:pos x="T1" y="0"/>
                            </a:cxn>
                            <a:cxn ang="0">
                              <a:pos x="T3" y="0"/>
                            </a:cxn>
                          </a:cxnLst>
                          <a:rect l="0" t="0" r="r" b="b"/>
                          <a:pathLst>
                            <a:path w="9330">
                              <a:moveTo>
                                <a:pt x="0" y="0"/>
                              </a:moveTo>
                              <a:lnTo>
                                <a:pt x="9330" y="0"/>
                              </a:lnTo>
                            </a:path>
                          </a:pathLst>
                        </a:custGeom>
                        <a:noFill/>
                        <a:ln w="1173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B7DA2" id="Freeform 2" o:spid="_x0000_s1026" style="position:absolute;margin-left:1in;margin-top:12.15pt;width:466.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" path="m,l9330,e" filled="f" strokeweight=".32597mm">
                <v:stroke dashstyle="dash"/>
                <v:path arrowok="t" o:connecttype="custom" o:connectlocs="0,0;5924550,0" o:connectangles="0,0"/>
                <w10:wrap type="topAndBottom" anchorx="page"/>
              </v:shape>
            </w:pict>
          </mc:Fallback>
        </mc:AlternateContent>
      </w:r>
    </w:p>
    <w:p w:rsidR="008073DF" w:rsidRDefault="008073DF" w:rsidP="00F4481C"/>
    <w:p w:rsidR="008073DF" w:rsidRDefault="00031549" w:rsidP="00F4481C">
      <w:r w:rsidRPr="00F4481C">
        <w:rPr>
          <w:rStyle w:val="Heading1Char"/>
        </w:rPr>
        <w:t>Schedule and Readings</w:t>
      </w:r>
      <w:r>
        <w:t>:</w:t>
      </w:r>
    </w:p>
    <w:p w:rsidR="008073DF" w:rsidRDefault="008073DF" w:rsidP="00F4481C"/>
    <w:p w:rsidR="008073DF" w:rsidRDefault="00031549" w:rsidP="00746891">
      <w:pPr>
        <w:tabs>
          <w:tab w:val="left" w:pos="2160"/>
        </w:tabs>
      </w:pPr>
      <w:r>
        <w:rPr>
          <w:w w:val="99"/>
        </w:rPr>
        <w:t>August</w:t>
      </w:r>
      <w:r>
        <w:t xml:space="preserve"> </w:t>
      </w:r>
      <w:r>
        <w:rPr>
          <w:smallCaps/>
          <w:w w:val="99"/>
        </w:rPr>
        <w:t>28:</w:t>
      </w:r>
      <w:r>
        <w:tab/>
      </w:r>
      <w:r w:rsidRPr="00746891">
        <w:rPr>
          <w:b/>
          <w:i/>
          <w:w w:val="99"/>
        </w:rPr>
        <w:t>Class</w:t>
      </w:r>
      <w:r w:rsidRPr="00746891">
        <w:rPr>
          <w:b/>
          <w:i/>
        </w:rPr>
        <w:t xml:space="preserve"> </w:t>
      </w:r>
      <w:r w:rsidRPr="00746891">
        <w:rPr>
          <w:b/>
          <w:i/>
          <w:w w:val="99"/>
        </w:rPr>
        <w:t>Overview</w:t>
      </w:r>
      <w:r w:rsidRPr="00746891">
        <w:rPr>
          <w:b/>
          <w:i/>
        </w:rPr>
        <w:t xml:space="preserve"> and </w:t>
      </w:r>
      <w:r w:rsidRPr="00746891">
        <w:rPr>
          <w:b/>
          <w:i/>
          <w:w w:val="99"/>
        </w:rPr>
        <w:t>Study</w:t>
      </w:r>
      <w:r w:rsidRPr="00746891">
        <w:rPr>
          <w:b/>
          <w:i/>
        </w:rPr>
        <w:t xml:space="preserve"> </w:t>
      </w:r>
      <w:r w:rsidRPr="00746891">
        <w:rPr>
          <w:b/>
          <w:i/>
          <w:w w:val="99"/>
        </w:rPr>
        <w:t>Skills</w:t>
      </w:r>
    </w:p>
    <w:p w:rsidR="008073DF" w:rsidRDefault="008073DF" w:rsidP="00746891">
      <w:pPr>
        <w:tabs>
          <w:tab w:val="left" w:pos="2160"/>
        </w:tabs>
      </w:pPr>
    </w:p>
    <w:p w:rsidR="008073DF" w:rsidRDefault="00031549" w:rsidP="00746891">
      <w:pPr>
        <w:tabs>
          <w:tab w:val="left" w:pos="2160"/>
        </w:tabs>
      </w:pPr>
      <w:r>
        <w:t>August</w:t>
      </w:r>
      <w:r>
        <w:rPr>
          <w:spacing w:val="-2"/>
        </w:rPr>
        <w:t xml:space="preserve"> </w:t>
      </w:r>
      <w:r>
        <w:t>30:</w:t>
      </w:r>
      <w:r>
        <w:tab/>
      </w:r>
      <w:r w:rsidRPr="00746891">
        <w:rPr>
          <w:rStyle w:val="Heading2Char"/>
        </w:rPr>
        <w:t>The Elements of Style</w:t>
      </w:r>
    </w:p>
    <w:p w:rsidR="008073DF" w:rsidRDefault="00031549" w:rsidP="00746891">
      <w:pPr>
        <w:pStyle w:val="ListParagraph"/>
      </w:pPr>
      <w:r>
        <w:t>Marjorie Munsterberg, “Formal Analysis,”</w:t>
      </w:r>
      <w:r w:rsidRPr="00746891">
        <w:rPr>
          <w:spacing w:val="-19"/>
        </w:rPr>
        <w:t xml:space="preserve"> </w:t>
      </w:r>
      <w:r w:rsidRPr="00746891">
        <w:rPr>
          <w:i/>
        </w:rPr>
        <w:t>writingaboutart.org</w:t>
      </w:r>
      <w:r>
        <w:t>.</w:t>
      </w:r>
    </w:p>
    <w:p w:rsidR="008073DF" w:rsidRDefault="008073DF" w:rsidP="00746891">
      <w:pPr>
        <w:tabs>
          <w:tab w:val="left" w:pos="2160"/>
        </w:tabs>
      </w:pPr>
    </w:p>
    <w:p w:rsidR="008073DF" w:rsidRDefault="00031549" w:rsidP="00746891">
      <w:pPr>
        <w:tabs>
          <w:tab w:val="left" w:pos="2160"/>
        </w:tabs>
        <w:rPr>
          <w:b/>
          <w:i/>
        </w:rPr>
      </w:pPr>
      <w:r>
        <w:t>September</w:t>
      </w:r>
      <w:r>
        <w:rPr>
          <w:spacing w:val="-2"/>
        </w:rPr>
        <w:t xml:space="preserve"> </w:t>
      </w:r>
      <w:r>
        <w:t>4:</w:t>
      </w:r>
      <w:r>
        <w:tab/>
      </w:r>
      <w:r>
        <w:rPr>
          <w:b/>
          <w:i/>
        </w:rPr>
        <w:t>No Class</w:t>
      </w:r>
    </w:p>
    <w:p w:rsidR="008073DF" w:rsidRDefault="008073DF" w:rsidP="00746891">
      <w:pPr>
        <w:tabs>
          <w:tab w:val="left" w:pos="2160"/>
        </w:tabs>
      </w:pPr>
    </w:p>
    <w:p w:rsidR="008073DF" w:rsidRPr="00746891" w:rsidRDefault="00031549" w:rsidP="00746891">
      <w:pPr>
        <w:tabs>
          <w:tab w:val="left" w:pos="2160"/>
        </w:tabs>
        <w:rPr>
          <w:rStyle w:val="Heading2Char"/>
        </w:rPr>
      </w:pPr>
      <w:r>
        <w:t>September</w:t>
      </w:r>
      <w:r>
        <w:rPr>
          <w:spacing w:val="-2"/>
        </w:rPr>
        <w:t xml:space="preserve"> </w:t>
      </w:r>
      <w:r>
        <w:t>6:</w:t>
      </w:r>
      <w:r>
        <w:tab/>
      </w:r>
      <w:r w:rsidRPr="00746891">
        <w:rPr>
          <w:rStyle w:val="Heading2Char"/>
        </w:rPr>
        <w:t>Ancient Mesopotamian Art: “Power”</w:t>
      </w:r>
    </w:p>
    <w:p w:rsidR="008073DF" w:rsidRDefault="00031549" w:rsidP="00746891">
      <w:pPr>
        <w:pStyle w:val="ListParagraph"/>
      </w:pPr>
      <w:r>
        <w:t xml:space="preserve">Marjorie </w:t>
      </w:r>
      <w:proofErr w:type="spellStart"/>
      <w:r>
        <w:t>Munsterbeg</w:t>
      </w:r>
      <w:proofErr w:type="spellEnd"/>
      <w:r>
        <w:t>, “Historical Analysis,”</w:t>
      </w:r>
      <w:r>
        <w:rPr>
          <w:spacing w:val="-22"/>
        </w:rPr>
        <w:t xml:space="preserve"> </w:t>
      </w:r>
      <w:r w:rsidRPr="00746891">
        <w:rPr>
          <w:i/>
        </w:rPr>
        <w:t>writingaboutart.org</w:t>
      </w:r>
      <w:r>
        <w:t>.</w:t>
      </w:r>
    </w:p>
    <w:p w:rsidR="008073DF" w:rsidRDefault="00031549" w:rsidP="00746891">
      <w:pPr>
        <w:pStyle w:val="ListParagraph"/>
      </w:pPr>
      <w:r>
        <w:t xml:space="preserve">Kim </w:t>
      </w:r>
      <w:proofErr w:type="spellStart"/>
      <w:r>
        <w:t>Benzel</w:t>
      </w:r>
      <w:proofErr w:type="spellEnd"/>
      <w:r>
        <w:t xml:space="preserve">, </w:t>
      </w:r>
      <w:r w:rsidRPr="00746891">
        <w:t xml:space="preserve">Sarah B. Graff, Yelena </w:t>
      </w:r>
      <w:proofErr w:type="spellStart"/>
      <w:r w:rsidRPr="00746891">
        <w:t>Rakic</w:t>
      </w:r>
      <w:proofErr w:type="spellEnd"/>
      <w:r w:rsidRPr="00746891">
        <w:t xml:space="preserve">, and Edith W. Watts, </w:t>
      </w:r>
      <w:r w:rsidRPr="00746891">
        <w:rPr>
          <w:i/>
        </w:rPr>
        <w:t>Art of the Ancient Near East: A Resource for Educators</w:t>
      </w:r>
      <w:r>
        <w:t xml:space="preserve"> (New York: Metropolitan Museum of Art,</w:t>
      </w:r>
      <w:r>
        <w:rPr>
          <w:smallCaps/>
        </w:rPr>
        <w:t xml:space="preserve"> 2010),</w:t>
      </w:r>
      <w:r>
        <w:t xml:space="preserve"> p.</w:t>
      </w:r>
      <w:r>
        <w:rPr>
          <w:spacing w:val="-9"/>
        </w:rPr>
        <w:t xml:space="preserve"> </w:t>
      </w:r>
      <w:r>
        <w:t>9-38.</w:t>
      </w:r>
    </w:p>
    <w:p w:rsidR="008073DF" w:rsidRDefault="008073DF" w:rsidP="00746891">
      <w:pPr>
        <w:tabs>
          <w:tab w:val="left" w:pos="2160"/>
        </w:tabs>
      </w:pPr>
    </w:p>
    <w:p w:rsidR="008073DF" w:rsidRPr="00746891" w:rsidRDefault="00031549" w:rsidP="00746891">
      <w:pPr>
        <w:tabs>
          <w:tab w:val="left" w:pos="2160"/>
        </w:tabs>
        <w:rPr>
          <w:rStyle w:val="Heading2Char"/>
        </w:rPr>
      </w:pPr>
      <w:r>
        <w:rPr>
          <w:w w:val="99"/>
        </w:rPr>
        <w:t>September</w:t>
      </w:r>
      <w:r>
        <w:rPr>
          <w:spacing w:val="-1"/>
        </w:rPr>
        <w:t xml:space="preserve"> </w:t>
      </w:r>
      <w:r>
        <w:rPr>
          <w:smallCaps/>
        </w:rPr>
        <w:t>11:</w:t>
      </w:r>
      <w:r>
        <w:tab/>
      </w:r>
      <w:r w:rsidRPr="00746891">
        <w:rPr>
          <w:rStyle w:val="Heading2Char"/>
        </w:rPr>
        <w:t>Ancient Egyptian Art: “Eternity”</w:t>
      </w:r>
    </w:p>
    <w:p w:rsidR="008073DF" w:rsidRDefault="00031549" w:rsidP="00746891">
      <w:pPr>
        <w:pStyle w:val="ListParagraph"/>
      </w:pPr>
      <w:r>
        <w:t xml:space="preserve">“Ancient Egypt: A Beginner’s Guide,” </w:t>
      </w:r>
      <w:proofErr w:type="spellStart"/>
      <w:r>
        <w:t>Smarthistory</w:t>
      </w:r>
      <w:proofErr w:type="spellEnd"/>
      <w:r>
        <w:t xml:space="preserve"> (</w:t>
      </w:r>
      <w:r>
        <w:rPr>
          <w:i/>
        </w:rPr>
        <w:t>read</w:t>
      </w:r>
      <w:r>
        <w:rPr>
          <w:i/>
          <w:spacing w:val="-36"/>
        </w:rPr>
        <w:t xml:space="preserve"> </w:t>
      </w:r>
      <w:r>
        <w:rPr>
          <w:i/>
        </w:rPr>
        <w:t>whole section</w:t>
      </w:r>
      <w:r>
        <w:t>), various</w:t>
      </w:r>
      <w:r>
        <w:rPr>
          <w:spacing w:val="-3"/>
        </w:rPr>
        <w:t xml:space="preserve"> </w:t>
      </w:r>
      <w:r>
        <w:t>dates.</w:t>
      </w:r>
    </w:p>
    <w:p w:rsidR="008073DF" w:rsidRDefault="008073DF" w:rsidP="00746891">
      <w:pPr>
        <w:tabs>
          <w:tab w:val="left" w:pos="2160"/>
        </w:tabs>
      </w:pPr>
    </w:p>
    <w:p w:rsidR="008073DF" w:rsidRDefault="00031549" w:rsidP="00746891">
      <w:pPr>
        <w:tabs>
          <w:tab w:val="left" w:pos="2160"/>
        </w:tabs>
      </w:pPr>
      <w:r>
        <w:rPr>
          <w:w w:val="99"/>
        </w:rPr>
        <w:t>September</w:t>
      </w:r>
      <w:r>
        <w:rPr>
          <w:spacing w:val="-1"/>
        </w:rPr>
        <w:t xml:space="preserve"> </w:t>
      </w:r>
      <w:r>
        <w:rPr>
          <w:smallCaps/>
        </w:rPr>
        <w:t>13:</w:t>
      </w:r>
      <w:r>
        <w:tab/>
      </w:r>
      <w:r w:rsidRPr="00746891">
        <w:rPr>
          <w:rStyle w:val="Heading2Char"/>
        </w:rPr>
        <w:t>Ancient Greek Sculpture: “Idealism”</w:t>
      </w:r>
    </w:p>
    <w:p w:rsidR="008073DF" w:rsidRDefault="00031549" w:rsidP="00746891">
      <w:pPr>
        <w:pStyle w:val="ListParagraph"/>
      </w:pPr>
      <w:r>
        <w:t xml:space="preserve">“Ancient Greece: A Beginner’s Guide,” </w:t>
      </w:r>
      <w:proofErr w:type="spellStart"/>
      <w:r>
        <w:t>Smarthistory</w:t>
      </w:r>
      <w:proofErr w:type="spellEnd"/>
      <w:r>
        <w:t xml:space="preserve"> (</w:t>
      </w:r>
      <w:r>
        <w:rPr>
          <w:i/>
        </w:rPr>
        <w:t xml:space="preserve">read </w:t>
      </w:r>
      <w:r>
        <w:rPr>
          <w:i/>
          <w:spacing w:val="-3"/>
        </w:rPr>
        <w:t xml:space="preserve">whole </w:t>
      </w:r>
      <w:r>
        <w:rPr>
          <w:i/>
        </w:rPr>
        <w:t>section</w:t>
      </w:r>
      <w:r>
        <w:t xml:space="preserve">), </w:t>
      </w:r>
      <w:r w:rsidRPr="00746891">
        <w:t>various</w:t>
      </w:r>
      <w:r>
        <w:rPr>
          <w:spacing w:val="-3"/>
        </w:rPr>
        <w:t xml:space="preserve"> </w:t>
      </w:r>
      <w:r>
        <w:t>dates.</w:t>
      </w:r>
    </w:p>
    <w:p w:rsidR="008073DF" w:rsidRDefault="00031549" w:rsidP="00746891">
      <w:pPr>
        <w:pStyle w:val="ListParagraph"/>
      </w:pPr>
      <w:r>
        <w:t xml:space="preserve">Jean </w:t>
      </w:r>
      <w:proofErr w:type="spellStart"/>
      <w:r>
        <w:t>Sorabella</w:t>
      </w:r>
      <w:proofErr w:type="spellEnd"/>
      <w:r>
        <w:t>, “The Nude in Western Art and its Beginnings in Antiquity,” HTAH,</w:t>
      </w:r>
      <w:r>
        <w:rPr>
          <w:spacing w:val="-2"/>
        </w:rPr>
        <w:t xml:space="preserve"> </w:t>
      </w:r>
      <w:r>
        <w:rPr>
          <w:smallCaps/>
        </w:rPr>
        <w:t>2008.</w:t>
      </w:r>
    </w:p>
    <w:p w:rsidR="008073DF" w:rsidRDefault="008073DF" w:rsidP="00746891">
      <w:pPr>
        <w:tabs>
          <w:tab w:val="left" w:pos="2160"/>
        </w:tabs>
        <w:sectPr w:rsidR="008073DF">
          <w:pgSz w:w="12240" w:h="15840"/>
          <w:pgMar w:top="1340" w:right="1340" w:bottom="280" w:left="1320" w:header="721" w:footer="0" w:gutter="0"/>
          <w:cols w:space="720"/>
        </w:sectPr>
      </w:pPr>
    </w:p>
    <w:p w:rsidR="008073DF" w:rsidRDefault="00031549" w:rsidP="00746891">
      <w:pPr>
        <w:pStyle w:val="ListParagraph"/>
      </w:pPr>
      <w:r>
        <w:lastRenderedPageBreak/>
        <w:t xml:space="preserve">Colette Hemingway and </w:t>
      </w:r>
      <w:proofErr w:type="spellStart"/>
      <w:r>
        <w:t>Seán</w:t>
      </w:r>
      <w:proofErr w:type="spellEnd"/>
      <w:r>
        <w:t xml:space="preserve"> Hemingway, “The Art of</w:t>
      </w:r>
      <w:r>
        <w:rPr>
          <w:spacing w:val="-27"/>
        </w:rPr>
        <w:t xml:space="preserve"> </w:t>
      </w:r>
      <w:r>
        <w:t xml:space="preserve">Classical Greece (ca. </w:t>
      </w:r>
      <w:r>
        <w:rPr>
          <w:smallCaps/>
        </w:rPr>
        <w:t>480-323</w:t>
      </w:r>
      <w:r>
        <w:t xml:space="preserve"> B.C),” HTAH,</w:t>
      </w:r>
      <w:r>
        <w:rPr>
          <w:spacing w:val="-7"/>
        </w:rPr>
        <w:t xml:space="preserve"> </w:t>
      </w:r>
      <w:r>
        <w:rPr>
          <w:smallCaps/>
        </w:rPr>
        <w:t>2008.</w:t>
      </w:r>
    </w:p>
    <w:p w:rsidR="008073DF" w:rsidRDefault="008073DF" w:rsidP="00746891">
      <w:pPr>
        <w:tabs>
          <w:tab w:val="left" w:pos="2160"/>
        </w:tabs>
      </w:pPr>
    </w:p>
    <w:p w:rsidR="008073DF" w:rsidRDefault="00031549" w:rsidP="00746891">
      <w:pPr>
        <w:tabs>
          <w:tab w:val="left" w:pos="2160"/>
        </w:tabs>
      </w:pPr>
      <w:r>
        <w:rPr>
          <w:w w:val="99"/>
        </w:rPr>
        <w:t>September</w:t>
      </w:r>
      <w:r>
        <w:rPr>
          <w:spacing w:val="-1"/>
        </w:rPr>
        <w:t xml:space="preserve"> </w:t>
      </w:r>
      <w:r>
        <w:rPr>
          <w:smallCaps/>
          <w:w w:val="99"/>
        </w:rPr>
        <w:t>18:</w:t>
      </w:r>
      <w:r>
        <w:tab/>
      </w:r>
      <w:r w:rsidRPr="00746891">
        <w:rPr>
          <w:b/>
          <w:i/>
          <w:spacing w:val="-1"/>
        </w:rPr>
        <w:t>Instin</w:t>
      </w:r>
      <w:r w:rsidRPr="00746891">
        <w:rPr>
          <w:b/>
          <w:i/>
          <w:spacing w:val="1"/>
        </w:rPr>
        <w:t>c</w:t>
      </w:r>
      <w:r w:rsidRPr="00746891">
        <w:rPr>
          <w:b/>
          <w:i/>
          <w:spacing w:val="-1"/>
        </w:rPr>
        <w:t>t</w:t>
      </w:r>
      <w:r w:rsidRPr="00746891">
        <w:rPr>
          <w:b/>
          <w:i/>
          <w:spacing w:val="1"/>
        </w:rPr>
        <w:t>u</w:t>
      </w:r>
      <w:r w:rsidRPr="00746891">
        <w:rPr>
          <w:b/>
          <w:i/>
          <w:spacing w:val="-1"/>
          <w:w w:val="99"/>
        </w:rPr>
        <w:t>a</w:t>
      </w:r>
      <w:r w:rsidRPr="00746891">
        <w:rPr>
          <w:b/>
          <w:i/>
          <w:w w:val="99"/>
        </w:rPr>
        <w:t>l</w:t>
      </w:r>
      <w:r w:rsidRPr="00746891">
        <w:rPr>
          <w:b/>
          <w:i/>
        </w:rPr>
        <w:t xml:space="preserve"> </w:t>
      </w:r>
      <w:r w:rsidRPr="00746891">
        <w:rPr>
          <w:b/>
          <w:i/>
          <w:spacing w:val="-1"/>
          <w:w w:val="99"/>
        </w:rPr>
        <w:t>Analysi</w:t>
      </w:r>
      <w:r w:rsidRPr="00746891">
        <w:rPr>
          <w:b/>
          <w:i/>
          <w:w w:val="99"/>
        </w:rPr>
        <w:t>s</w:t>
      </w:r>
      <w:r w:rsidRPr="00746891">
        <w:rPr>
          <w:b/>
          <w:i/>
        </w:rPr>
        <w:t xml:space="preserve"> due</w:t>
      </w:r>
    </w:p>
    <w:p w:rsidR="008073DF" w:rsidRDefault="00746891" w:rsidP="00746891">
      <w:pPr>
        <w:pStyle w:val="Heading2"/>
      </w:pPr>
      <w:r w:rsidRPr="00746891">
        <w:rPr>
          <w:u w:val="none"/>
        </w:rPr>
        <w:tab/>
      </w:r>
      <w:r w:rsidR="00031549">
        <w:t>Ancient Greek Architecture: “Idealism”</w:t>
      </w:r>
    </w:p>
    <w:p w:rsidR="008073DF" w:rsidRDefault="00031549" w:rsidP="00746891">
      <w:pPr>
        <w:pStyle w:val="ListParagraph"/>
      </w:pPr>
      <w:r>
        <w:t>Colette Hemingway, “Architecture in Ancient Greece,” HTAH,</w:t>
      </w:r>
      <w:r>
        <w:rPr>
          <w:smallCaps/>
        </w:rPr>
        <w:t xml:space="preserve"> 2003.</w:t>
      </w:r>
    </w:p>
    <w:p w:rsidR="008073DF" w:rsidRDefault="008073DF" w:rsidP="00746891">
      <w:pPr>
        <w:tabs>
          <w:tab w:val="left" w:pos="2160"/>
        </w:tabs>
      </w:pPr>
    </w:p>
    <w:p w:rsidR="008073DF" w:rsidRDefault="00031549" w:rsidP="00746891">
      <w:pPr>
        <w:tabs>
          <w:tab w:val="left" w:pos="2160"/>
        </w:tabs>
      </w:pPr>
      <w:r>
        <w:rPr>
          <w:w w:val="99"/>
        </w:rPr>
        <w:t>September</w:t>
      </w:r>
      <w:r>
        <w:rPr>
          <w:spacing w:val="-1"/>
        </w:rPr>
        <w:t xml:space="preserve"> </w:t>
      </w:r>
      <w:r>
        <w:rPr>
          <w:smallCaps/>
          <w:w w:val="99"/>
        </w:rPr>
        <w:t>25:</w:t>
      </w:r>
      <w:r>
        <w:tab/>
      </w:r>
      <w:r w:rsidRPr="00746891">
        <w:rPr>
          <w:rStyle w:val="Heading2Char"/>
        </w:rPr>
        <w:t>Ancient Roman Art: “Propaganda”</w:t>
      </w:r>
    </w:p>
    <w:p w:rsidR="008073DF" w:rsidRPr="00746891" w:rsidRDefault="00031549" w:rsidP="00746891">
      <w:pPr>
        <w:pStyle w:val="ListParagraph"/>
      </w:pPr>
      <w:r>
        <w:t xml:space="preserve">“Ancient Rome: A Beginner’s </w:t>
      </w:r>
      <w:r w:rsidRPr="00746891">
        <w:t xml:space="preserve">Guide,” </w:t>
      </w:r>
      <w:proofErr w:type="spellStart"/>
      <w:r w:rsidRPr="00746891">
        <w:t>Smarthistory</w:t>
      </w:r>
      <w:proofErr w:type="spellEnd"/>
      <w:r w:rsidRPr="00746891">
        <w:t xml:space="preserve"> (first four links), various dates.</w:t>
      </w:r>
    </w:p>
    <w:p w:rsidR="008073DF" w:rsidRDefault="00031549" w:rsidP="00746891">
      <w:pPr>
        <w:pStyle w:val="ListParagraph"/>
      </w:pPr>
      <w:r w:rsidRPr="00746891">
        <w:t>Neil Faulkner, “The Official Truth</w:t>
      </w:r>
      <w:r>
        <w:t>: Propaganda in the</w:t>
      </w:r>
      <w:r>
        <w:rPr>
          <w:spacing w:val="-10"/>
        </w:rPr>
        <w:t xml:space="preserve"> </w:t>
      </w:r>
      <w:r>
        <w:t xml:space="preserve">Roman Empire,” </w:t>
      </w:r>
      <w:r>
        <w:rPr>
          <w:i/>
        </w:rPr>
        <w:t>BBC</w:t>
      </w:r>
      <w:r>
        <w:t xml:space="preserve">, February </w:t>
      </w:r>
      <w:r>
        <w:rPr>
          <w:smallCaps/>
        </w:rPr>
        <w:t>2,</w:t>
      </w:r>
      <w:r>
        <w:rPr>
          <w:smallCaps/>
          <w:spacing w:val="-4"/>
        </w:rPr>
        <w:t xml:space="preserve"> </w:t>
      </w:r>
      <w:r>
        <w:rPr>
          <w:smallCaps/>
        </w:rPr>
        <w:t>2011.</w:t>
      </w:r>
    </w:p>
    <w:p w:rsidR="008073DF" w:rsidRDefault="008073DF" w:rsidP="00746891">
      <w:pPr>
        <w:tabs>
          <w:tab w:val="left" w:pos="2160"/>
        </w:tabs>
      </w:pPr>
    </w:p>
    <w:p w:rsidR="008073DF" w:rsidRDefault="00031549" w:rsidP="00746891">
      <w:pPr>
        <w:tabs>
          <w:tab w:val="left" w:pos="2160"/>
        </w:tabs>
      </w:pPr>
      <w:r>
        <w:rPr>
          <w:w w:val="99"/>
        </w:rPr>
        <w:t>September</w:t>
      </w:r>
      <w:r>
        <w:rPr>
          <w:spacing w:val="-1"/>
        </w:rPr>
        <w:t xml:space="preserve"> </w:t>
      </w:r>
      <w:r>
        <w:rPr>
          <w:smallCaps/>
          <w:w w:val="99"/>
        </w:rPr>
        <w:t>27:</w:t>
      </w:r>
      <w:r>
        <w:tab/>
      </w:r>
      <w:r w:rsidRPr="00746891">
        <w:rPr>
          <w:rStyle w:val="Heading2Char"/>
        </w:rPr>
        <w:t>Hindu Art: “Corporeality”</w:t>
      </w:r>
    </w:p>
    <w:p w:rsidR="008073DF" w:rsidRDefault="00031549" w:rsidP="00746891">
      <w:pPr>
        <w:pStyle w:val="ListParagraph"/>
      </w:pPr>
      <w:r>
        <w:t xml:space="preserve">Melody Rod-Ari, “Hinduism and Buddhism, an Introduction,” </w:t>
      </w:r>
      <w:proofErr w:type="spellStart"/>
      <w:r>
        <w:t>Smarthistory</w:t>
      </w:r>
      <w:proofErr w:type="spellEnd"/>
      <w:r>
        <w:t>,</w:t>
      </w:r>
      <w:r>
        <w:rPr>
          <w:smallCaps/>
          <w:spacing w:val="-1"/>
        </w:rPr>
        <w:t xml:space="preserve"> </w:t>
      </w:r>
      <w:r>
        <w:rPr>
          <w:smallCaps/>
        </w:rPr>
        <w:t>2016.</w:t>
      </w:r>
    </w:p>
    <w:p w:rsidR="008073DF" w:rsidRDefault="00031549" w:rsidP="00746891">
      <w:pPr>
        <w:pStyle w:val="ListParagraph"/>
      </w:pPr>
      <w:r>
        <w:t xml:space="preserve">Vidya </w:t>
      </w:r>
      <w:proofErr w:type="spellStart"/>
      <w:r>
        <w:t>Dehejia</w:t>
      </w:r>
      <w:proofErr w:type="spellEnd"/>
      <w:r>
        <w:t>, “South Asian Art and Culture,” HTAH,</w:t>
      </w:r>
      <w:r>
        <w:rPr>
          <w:spacing w:val="-8"/>
        </w:rPr>
        <w:t xml:space="preserve"> </w:t>
      </w:r>
      <w:r>
        <w:rPr>
          <w:smallCaps/>
        </w:rPr>
        <w:t>2007.</w:t>
      </w:r>
    </w:p>
    <w:p w:rsidR="008073DF" w:rsidRDefault="00031549" w:rsidP="00746891">
      <w:pPr>
        <w:pStyle w:val="ListParagraph"/>
      </w:pPr>
      <w:r>
        <w:t xml:space="preserve">Vidya </w:t>
      </w:r>
      <w:proofErr w:type="spellStart"/>
      <w:r>
        <w:t>Dehejia</w:t>
      </w:r>
      <w:proofErr w:type="spellEnd"/>
      <w:r>
        <w:t>, “Hindu Art,” HTAH,</w:t>
      </w:r>
      <w:r>
        <w:rPr>
          <w:spacing w:val="-6"/>
        </w:rPr>
        <w:t xml:space="preserve"> </w:t>
      </w:r>
      <w:r>
        <w:rPr>
          <w:smallCaps/>
        </w:rPr>
        <w:t>2007.</w:t>
      </w:r>
    </w:p>
    <w:p w:rsidR="008073DF" w:rsidRDefault="008073DF" w:rsidP="00746891">
      <w:pPr>
        <w:tabs>
          <w:tab w:val="left" w:pos="2160"/>
        </w:tabs>
      </w:pPr>
    </w:p>
    <w:p w:rsidR="008073DF" w:rsidRPr="00746891" w:rsidRDefault="00031549" w:rsidP="00746891">
      <w:pPr>
        <w:tabs>
          <w:tab w:val="left" w:pos="2160"/>
        </w:tabs>
        <w:rPr>
          <w:rStyle w:val="Heading2Char"/>
        </w:rPr>
      </w:pPr>
      <w:r>
        <w:rPr>
          <w:w w:val="99"/>
        </w:rPr>
        <w:t>October</w:t>
      </w:r>
      <w:r>
        <w:rPr>
          <w:spacing w:val="-1"/>
        </w:rPr>
        <w:t xml:space="preserve"> </w:t>
      </w:r>
      <w:r>
        <w:rPr>
          <w:smallCaps/>
        </w:rPr>
        <w:t>2:</w:t>
      </w:r>
      <w:r>
        <w:tab/>
      </w:r>
      <w:r w:rsidRPr="00746891">
        <w:rPr>
          <w:rStyle w:val="Heading2Char"/>
        </w:rPr>
        <w:t>Early Christian Art: “Program”</w:t>
      </w:r>
    </w:p>
    <w:p w:rsidR="008073DF" w:rsidRDefault="00031549" w:rsidP="00746891">
      <w:pPr>
        <w:pStyle w:val="ListParagraph"/>
      </w:pPr>
      <w:r>
        <w:t>Allen Farber, “Early Christianity, an Introduction” and</w:t>
      </w:r>
      <w:r>
        <w:rPr>
          <w:spacing w:val="-10"/>
        </w:rPr>
        <w:t xml:space="preserve"> </w:t>
      </w:r>
      <w:r>
        <w:t xml:space="preserve">“Early Christian Art,” </w:t>
      </w:r>
      <w:proofErr w:type="spellStart"/>
      <w:r>
        <w:t>Smarthistory</w:t>
      </w:r>
      <w:proofErr w:type="spellEnd"/>
      <w:r>
        <w:t>,</w:t>
      </w:r>
      <w:r>
        <w:rPr>
          <w:smallCaps/>
          <w:spacing w:val="-4"/>
        </w:rPr>
        <w:t xml:space="preserve"> </w:t>
      </w:r>
      <w:r>
        <w:rPr>
          <w:smallCaps/>
        </w:rPr>
        <w:t>2015.</w:t>
      </w:r>
    </w:p>
    <w:p w:rsidR="008073DF" w:rsidRDefault="008073DF" w:rsidP="00746891">
      <w:pPr>
        <w:tabs>
          <w:tab w:val="left" w:pos="2160"/>
        </w:tabs>
      </w:pPr>
    </w:p>
    <w:p w:rsidR="008073DF" w:rsidRPr="00746891" w:rsidRDefault="00031549" w:rsidP="00746891">
      <w:pPr>
        <w:tabs>
          <w:tab w:val="left" w:pos="2160"/>
        </w:tabs>
        <w:rPr>
          <w:b/>
          <w:i/>
        </w:rPr>
      </w:pPr>
      <w:r>
        <w:t>October</w:t>
      </w:r>
      <w:r>
        <w:rPr>
          <w:spacing w:val="-2"/>
        </w:rPr>
        <w:t xml:space="preserve"> </w:t>
      </w:r>
      <w:r>
        <w:t>4:</w:t>
      </w:r>
      <w:r>
        <w:tab/>
      </w:r>
      <w:r w:rsidRPr="00746891">
        <w:rPr>
          <w:b/>
          <w:i/>
        </w:rPr>
        <w:t>Formal Analysis due</w:t>
      </w:r>
    </w:p>
    <w:p w:rsidR="008073DF" w:rsidRPr="00746891" w:rsidRDefault="00746891" w:rsidP="00746891">
      <w:pPr>
        <w:pStyle w:val="Heading2"/>
      </w:pPr>
      <w:r w:rsidRPr="00746891">
        <w:rPr>
          <w:u w:val="none"/>
        </w:rPr>
        <w:tab/>
      </w:r>
      <w:r w:rsidR="00031549">
        <w:t>Byzantine Art: “</w:t>
      </w:r>
      <w:proofErr w:type="spellStart"/>
      <w:r w:rsidR="00031549">
        <w:t>Iconomania</w:t>
      </w:r>
      <w:proofErr w:type="spellEnd"/>
      <w:r w:rsidR="00031549">
        <w:t>”</w:t>
      </w:r>
    </w:p>
    <w:p w:rsidR="008073DF" w:rsidRPr="00746891" w:rsidRDefault="00031549" w:rsidP="00746891">
      <w:pPr>
        <w:pStyle w:val="ListParagraph"/>
      </w:pPr>
      <w:r w:rsidRPr="00746891">
        <w:t xml:space="preserve">“Byzantine: A Beginner’s Guide,” </w:t>
      </w:r>
      <w:proofErr w:type="spellStart"/>
      <w:r w:rsidRPr="00746891">
        <w:t>Smarthistory</w:t>
      </w:r>
      <w:proofErr w:type="spellEnd"/>
      <w:r w:rsidRPr="00746891">
        <w:t xml:space="preserve"> (whole section), various dates.</w:t>
      </w:r>
    </w:p>
    <w:p w:rsidR="008073DF" w:rsidRPr="00746891" w:rsidRDefault="00031549" w:rsidP="00746891">
      <w:pPr>
        <w:pStyle w:val="ListParagraph"/>
      </w:pPr>
      <w:r w:rsidRPr="00746891">
        <w:t>Sarah Brooks, “Icons and Iconoclasm in Byzantium,” HTAH, 2009.</w:t>
      </w:r>
    </w:p>
    <w:p w:rsidR="008073DF" w:rsidRDefault="00031549" w:rsidP="00746891">
      <w:pPr>
        <w:pStyle w:val="ListParagraph"/>
      </w:pPr>
      <w:r w:rsidRPr="00746891">
        <w:t xml:space="preserve">“Byzantium &amp; Iconoclasm,” </w:t>
      </w:r>
      <w:r w:rsidRPr="000240B8">
        <w:rPr>
          <w:i/>
          <w:iCs/>
        </w:rPr>
        <w:t>Faith, Imagined,</w:t>
      </w:r>
      <w:r>
        <w:t xml:space="preserve"> Columbia University.</w:t>
      </w:r>
    </w:p>
    <w:p w:rsidR="008073DF" w:rsidRDefault="008073DF" w:rsidP="00746891">
      <w:pPr>
        <w:tabs>
          <w:tab w:val="left" w:pos="2160"/>
        </w:tabs>
      </w:pPr>
    </w:p>
    <w:p w:rsidR="008073DF" w:rsidRPr="00746891" w:rsidRDefault="00031549" w:rsidP="00746891">
      <w:pPr>
        <w:tabs>
          <w:tab w:val="left" w:pos="2160"/>
        </w:tabs>
        <w:rPr>
          <w:rStyle w:val="Heading2Char"/>
        </w:rPr>
      </w:pPr>
      <w:r>
        <w:rPr>
          <w:w w:val="99"/>
        </w:rPr>
        <w:t>October</w:t>
      </w:r>
      <w:r>
        <w:rPr>
          <w:spacing w:val="-1"/>
        </w:rPr>
        <w:t xml:space="preserve"> </w:t>
      </w:r>
      <w:r>
        <w:rPr>
          <w:smallCaps/>
        </w:rPr>
        <w:t>11:</w:t>
      </w:r>
      <w:r>
        <w:tab/>
      </w:r>
      <w:r w:rsidRPr="00746891">
        <w:rPr>
          <w:rStyle w:val="Heading2Char"/>
        </w:rPr>
        <w:t>Indigenous Mesoamerican Art: “Theatricality”</w:t>
      </w:r>
    </w:p>
    <w:p w:rsidR="008073DF" w:rsidRDefault="00031549" w:rsidP="00746891">
      <w:pPr>
        <w:pStyle w:val="ListParagraph"/>
      </w:pPr>
      <w:r>
        <w:t xml:space="preserve">“La </w:t>
      </w:r>
      <w:proofErr w:type="spellStart"/>
      <w:r>
        <w:t>Venta</w:t>
      </w:r>
      <w:proofErr w:type="spellEnd"/>
      <w:r>
        <w:t xml:space="preserve">,” “Teotihuacan,” “Teotihuacan: </w:t>
      </w:r>
      <w:r w:rsidRPr="00746891">
        <w:t>Pyramids</w:t>
      </w:r>
      <w:r>
        <w:t xml:space="preserve"> of the Sun</w:t>
      </w:r>
      <w:r>
        <w:rPr>
          <w:spacing w:val="-10"/>
        </w:rPr>
        <w:t xml:space="preserve"> </w:t>
      </w:r>
      <w:r>
        <w:t xml:space="preserve">and the Moon,” “Tenochtitlan,” “Tenochtitlan: </w:t>
      </w:r>
      <w:proofErr w:type="spellStart"/>
      <w:r>
        <w:t>Templo</w:t>
      </w:r>
      <w:proofErr w:type="spellEnd"/>
      <w:r>
        <w:t xml:space="preserve"> Mayor,” HTAH (various</w:t>
      </w:r>
      <w:r>
        <w:rPr>
          <w:spacing w:val="-1"/>
        </w:rPr>
        <w:t xml:space="preserve"> </w:t>
      </w:r>
      <w:r>
        <w:t>dates).</w:t>
      </w:r>
    </w:p>
    <w:p w:rsidR="008073DF" w:rsidRDefault="008073DF" w:rsidP="00746891">
      <w:pPr>
        <w:tabs>
          <w:tab w:val="left" w:pos="2160"/>
        </w:tabs>
        <w:sectPr w:rsidR="008073DF">
          <w:pgSz w:w="12240" w:h="15840"/>
          <w:pgMar w:top="1340" w:right="1340" w:bottom="280" w:left="1320" w:header="721" w:footer="0" w:gutter="0"/>
          <w:cols w:space="720"/>
        </w:sectPr>
      </w:pPr>
    </w:p>
    <w:p w:rsidR="008073DF" w:rsidRDefault="008073DF" w:rsidP="00746891">
      <w:pPr>
        <w:tabs>
          <w:tab w:val="left" w:pos="2160"/>
        </w:tabs>
      </w:pPr>
    </w:p>
    <w:p w:rsidR="008073DF" w:rsidRDefault="00031549" w:rsidP="00746891">
      <w:pPr>
        <w:tabs>
          <w:tab w:val="left" w:pos="2160"/>
        </w:tabs>
      </w:pPr>
      <w:r>
        <w:rPr>
          <w:w w:val="99"/>
        </w:rPr>
        <w:t>October</w:t>
      </w:r>
      <w:r>
        <w:rPr>
          <w:spacing w:val="-1"/>
        </w:rPr>
        <w:t xml:space="preserve"> </w:t>
      </w:r>
      <w:r>
        <w:rPr>
          <w:smallCaps/>
        </w:rPr>
        <w:t>16:</w:t>
      </w:r>
      <w:r>
        <w:tab/>
      </w:r>
      <w:r w:rsidRPr="00746891">
        <w:rPr>
          <w:rStyle w:val="Heading2Char"/>
        </w:rPr>
        <w:t>Indigenous Northwest Pacific Art: “Transformation”</w:t>
      </w:r>
    </w:p>
    <w:p w:rsidR="008073DF" w:rsidRDefault="00031549" w:rsidP="00746891">
      <w:pPr>
        <w:pStyle w:val="ListParagraph"/>
      </w:pPr>
      <w:r>
        <w:t xml:space="preserve">“Native North American Art after </w:t>
      </w:r>
      <w:r>
        <w:rPr>
          <w:smallCaps/>
        </w:rPr>
        <w:t>1600:</w:t>
      </w:r>
      <w:r>
        <w:t xml:space="preserve"> A Beginner’s Guide,” </w:t>
      </w:r>
      <w:proofErr w:type="spellStart"/>
      <w:r>
        <w:t>Smarthistory</w:t>
      </w:r>
      <w:proofErr w:type="spellEnd"/>
      <w:r>
        <w:t xml:space="preserve"> (</w:t>
      </w:r>
      <w:r>
        <w:rPr>
          <w:i/>
        </w:rPr>
        <w:t>both sections</w:t>
      </w:r>
      <w:r>
        <w:t>), various</w:t>
      </w:r>
      <w:r>
        <w:rPr>
          <w:spacing w:val="-7"/>
        </w:rPr>
        <w:t xml:space="preserve"> </w:t>
      </w:r>
      <w:r>
        <w:t>dates.</w:t>
      </w:r>
    </w:p>
    <w:p w:rsidR="008073DF" w:rsidRDefault="00031549" w:rsidP="00746891">
      <w:pPr>
        <w:pStyle w:val="ListParagraph"/>
      </w:pPr>
      <w:r>
        <w:t xml:space="preserve">“Northwest Coast,” </w:t>
      </w:r>
      <w:proofErr w:type="spellStart"/>
      <w:r>
        <w:t>Smarthistory</w:t>
      </w:r>
      <w:proofErr w:type="spellEnd"/>
      <w:r>
        <w:t xml:space="preserve"> (</w:t>
      </w:r>
      <w:r>
        <w:rPr>
          <w:i/>
        </w:rPr>
        <w:t>both sections</w:t>
      </w:r>
      <w:r>
        <w:t>), various</w:t>
      </w:r>
      <w:r>
        <w:rPr>
          <w:spacing w:val="-15"/>
        </w:rPr>
        <w:t xml:space="preserve"> </w:t>
      </w:r>
      <w:r>
        <w:t>dates.</w:t>
      </w:r>
    </w:p>
    <w:p w:rsidR="008073DF" w:rsidRDefault="008073DF" w:rsidP="00746891">
      <w:pPr>
        <w:tabs>
          <w:tab w:val="left" w:pos="2160"/>
        </w:tabs>
      </w:pPr>
    </w:p>
    <w:p w:rsidR="008073DF" w:rsidRPr="00746891" w:rsidRDefault="00031549" w:rsidP="00746891">
      <w:pPr>
        <w:tabs>
          <w:tab w:val="left" w:pos="2160"/>
        </w:tabs>
        <w:rPr>
          <w:rStyle w:val="Heading2Char"/>
        </w:rPr>
      </w:pPr>
      <w:r>
        <w:rPr>
          <w:w w:val="99"/>
        </w:rPr>
        <w:t>October</w:t>
      </w:r>
      <w:r>
        <w:t xml:space="preserve"> </w:t>
      </w:r>
      <w:r>
        <w:rPr>
          <w:smallCaps/>
          <w:w w:val="99"/>
        </w:rPr>
        <w:t>18:</w:t>
      </w:r>
      <w:r>
        <w:tab/>
      </w:r>
      <w:r w:rsidRPr="00746891">
        <w:rPr>
          <w:rStyle w:val="Heading2Char"/>
        </w:rPr>
        <w:t>Chinese Art: “Abstraction”</w:t>
      </w:r>
    </w:p>
    <w:p w:rsidR="008073DF" w:rsidRDefault="00031549" w:rsidP="00746891">
      <w:pPr>
        <w:pStyle w:val="ListParagraph"/>
      </w:pPr>
      <w:r>
        <w:t>Maxwell Hearn, “Chinese Painting, HTAH,</w:t>
      </w:r>
      <w:r>
        <w:rPr>
          <w:spacing w:val="-6"/>
        </w:rPr>
        <w:t xml:space="preserve"> </w:t>
      </w:r>
      <w:r>
        <w:rPr>
          <w:smallCaps/>
        </w:rPr>
        <w:t>2008.</w:t>
      </w:r>
    </w:p>
    <w:p w:rsidR="008073DF" w:rsidRDefault="00031549" w:rsidP="00746891">
      <w:pPr>
        <w:pStyle w:val="ListParagraph"/>
      </w:pPr>
      <w:r>
        <w:t>“Landscape Painting in Chinese Art” and “Painting Formats in East Asian Art,” HTAH, various</w:t>
      </w:r>
      <w:r>
        <w:rPr>
          <w:spacing w:val="-6"/>
        </w:rPr>
        <w:t xml:space="preserve"> </w:t>
      </w:r>
      <w:r>
        <w:t>dates.</w:t>
      </w:r>
    </w:p>
    <w:p w:rsidR="008073DF" w:rsidRDefault="008073DF" w:rsidP="00746891">
      <w:pPr>
        <w:tabs>
          <w:tab w:val="left" w:pos="2160"/>
        </w:tabs>
      </w:pPr>
    </w:p>
    <w:p w:rsidR="00746891" w:rsidRDefault="00031549" w:rsidP="00746891">
      <w:pPr>
        <w:tabs>
          <w:tab w:val="left" w:pos="2160"/>
        </w:tabs>
      </w:pPr>
      <w:r>
        <w:rPr>
          <w:w w:val="99"/>
        </w:rPr>
        <w:t>October</w:t>
      </w:r>
      <w:r>
        <w:rPr>
          <w:spacing w:val="-1"/>
        </w:rPr>
        <w:t xml:space="preserve"> </w:t>
      </w:r>
      <w:r>
        <w:rPr>
          <w:smallCaps/>
        </w:rPr>
        <w:t>2</w:t>
      </w:r>
      <w:r>
        <w:rPr>
          <w:smallCaps/>
          <w:spacing w:val="-2"/>
        </w:rPr>
        <w:t>3</w:t>
      </w:r>
      <w:r>
        <w:t>:</w:t>
      </w:r>
      <w:r>
        <w:tab/>
      </w:r>
      <w:r w:rsidRPr="00746891">
        <w:rPr>
          <w:b/>
          <w:i/>
          <w:spacing w:val="-1"/>
        </w:rPr>
        <w:t>Historic</w:t>
      </w:r>
      <w:r w:rsidRPr="00746891">
        <w:rPr>
          <w:b/>
          <w:i/>
          <w:spacing w:val="1"/>
        </w:rPr>
        <w:t>a</w:t>
      </w:r>
      <w:r w:rsidRPr="00746891">
        <w:rPr>
          <w:b/>
          <w:i/>
          <w:w w:val="99"/>
        </w:rPr>
        <w:t>l</w:t>
      </w:r>
      <w:r w:rsidRPr="00746891">
        <w:rPr>
          <w:b/>
          <w:i/>
        </w:rPr>
        <w:t xml:space="preserve"> </w:t>
      </w:r>
      <w:r w:rsidRPr="00746891">
        <w:rPr>
          <w:b/>
          <w:i/>
          <w:spacing w:val="-1"/>
          <w:w w:val="99"/>
        </w:rPr>
        <w:t>Analysi</w:t>
      </w:r>
      <w:r w:rsidRPr="00746891">
        <w:rPr>
          <w:b/>
          <w:i/>
          <w:w w:val="99"/>
        </w:rPr>
        <w:t>s</w:t>
      </w:r>
      <w:r w:rsidRPr="00746891">
        <w:rPr>
          <w:b/>
          <w:i/>
        </w:rPr>
        <w:t xml:space="preserve"> due</w:t>
      </w:r>
    </w:p>
    <w:p w:rsidR="008073DF" w:rsidRPr="00746891" w:rsidRDefault="00746891" w:rsidP="00746891">
      <w:pPr>
        <w:pStyle w:val="Heading2"/>
      </w:pPr>
      <w:r w:rsidRPr="00746891">
        <w:rPr>
          <w:u w:val="none"/>
        </w:rPr>
        <w:tab/>
      </w:r>
      <w:r w:rsidR="00031549" w:rsidRPr="00746891">
        <w:t>Romanesque Art: “Publics”</w:t>
      </w:r>
    </w:p>
    <w:p w:rsidR="008073DF" w:rsidRDefault="00031549" w:rsidP="00746891">
      <w:pPr>
        <w:pStyle w:val="ListParagraph"/>
      </w:pPr>
      <w:r>
        <w:t xml:space="preserve">“Romanesque: A Beginner’s Guide,” </w:t>
      </w:r>
      <w:proofErr w:type="spellStart"/>
      <w:r>
        <w:t>Smarthistory</w:t>
      </w:r>
      <w:proofErr w:type="spellEnd"/>
      <w:r>
        <w:t xml:space="preserve"> (</w:t>
      </w:r>
      <w:r>
        <w:rPr>
          <w:i/>
        </w:rPr>
        <w:t>whole section</w:t>
      </w:r>
      <w:r>
        <w:t>), various</w:t>
      </w:r>
      <w:r>
        <w:rPr>
          <w:spacing w:val="-2"/>
        </w:rPr>
        <w:t xml:space="preserve"> </w:t>
      </w:r>
      <w:r>
        <w:t>dates.</w:t>
      </w:r>
    </w:p>
    <w:p w:rsidR="008073DF" w:rsidRDefault="00031549" w:rsidP="00746891">
      <w:pPr>
        <w:pStyle w:val="ListParagraph"/>
      </w:pPr>
      <w:r>
        <w:t xml:space="preserve">Julien </w:t>
      </w:r>
      <w:proofErr w:type="spellStart"/>
      <w:r>
        <w:t>Chapis</w:t>
      </w:r>
      <w:proofErr w:type="spellEnd"/>
      <w:r>
        <w:t>, “Romanesque Art,” HTAH,</w:t>
      </w:r>
      <w:r>
        <w:rPr>
          <w:smallCaps/>
          <w:spacing w:val="-6"/>
        </w:rPr>
        <w:t xml:space="preserve"> </w:t>
      </w:r>
      <w:r>
        <w:rPr>
          <w:smallCaps/>
        </w:rPr>
        <w:t>2002.</w:t>
      </w:r>
    </w:p>
    <w:p w:rsidR="008073DF" w:rsidRDefault="00031549" w:rsidP="00746891">
      <w:pPr>
        <w:pStyle w:val="ListParagraph"/>
      </w:pPr>
      <w:r>
        <w:t>Melanie Holcomb, “Medieval European Sculpture for</w:t>
      </w:r>
      <w:r>
        <w:rPr>
          <w:spacing w:val="-20"/>
        </w:rPr>
        <w:t xml:space="preserve"> </w:t>
      </w:r>
      <w:r>
        <w:t>Buildings,” HTAH,</w:t>
      </w:r>
      <w:r>
        <w:rPr>
          <w:smallCaps/>
          <w:spacing w:val="-1"/>
        </w:rPr>
        <w:t xml:space="preserve"> </w:t>
      </w:r>
      <w:r>
        <w:rPr>
          <w:smallCaps/>
        </w:rPr>
        <w:t>2001.</w:t>
      </w:r>
    </w:p>
    <w:p w:rsidR="008073DF" w:rsidRDefault="008073DF" w:rsidP="00746891">
      <w:pPr>
        <w:tabs>
          <w:tab w:val="left" w:pos="2160"/>
        </w:tabs>
      </w:pPr>
    </w:p>
    <w:p w:rsidR="008073DF" w:rsidRPr="00746891" w:rsidRDefault="00031549" w:rsidP="000240B8">
      <w:pPr>
        <w:tabs>
          <w:tab w:val="left" w:pos="2160"/>
        </w:tabs>
      </w:pPr>
      <w:r>
        <w:rPr>
          <w:w w:val="99"/>
        </w:rPr>
        <w:t>October</w:t>
      </w:r>
      <w:r>
        <w:t xml:space="preserve"> </w:t>
      </w:r>
      <w:r>
        <w:rPr>
          <w:smallCaps/>
          <w:w w:val="99"/>
        </w:rPr>
        <w:t>25</w:t>
      </w:r>
      <w:r w:rsidR="000240B8">
        <w:rPr>
          <w:smallCaps/>
          <w:w w:val="99"/>
        </w:rPr>
        <w:t>:</w:t>
      </w:r>
      <w:r w:rsidR="000240B8">
        <w:rPr>
          <w:smallCaps/>
          <w:w w:val="99"/>
        </w:rPr>
        <w:tab/>
      </w:r>
      <w:r w:rsidRPr="00746891">
        <w:t>Art of the Benin Empire: “Sovereignty”</w:t>
      </w:r>
    </w:p>
    <w:p w:rsidR="008073DF" w:rsidRDefault="008073DF" w:rsidP="00746891">
      <w:pPr>
        <w:tabs>
          <w:tab w:val="left" w:pos="2160"/>
        </w:tabs>
      </w:pPr>
    </w:p>
    <w:p w:rsidR="008073DF" w:rsidRDefault="00031549" w:rsidP="00746891">
      <w:pPr>
        <w:tabs>
          <w:tab w:val="left" w:pos="2160"/>
        </w:tabs>
      </w:pPr>
      <w:r>
        <w:t>October</w:t>
      </w:r>
      <w:r>
        <w:rPr>
          <w:spacing w:val="-4"/>
        </w:rPr>
        <w:t xml:space="preserve"> </w:t>
      </w:r>
      <w:r>
        <w:t>30:</w:t>
      </w:r>
      <w:r>
        <w:tab/>
      </w:r>
      <w:r w:rsidRPr="00746891">
        <w:rPr>
          <w:rStyle w:val="Heading2Char"/>
        </w:rPr>
        <w:t>Islamic Architecture: “Ornamentation”</w:t>
      </w:r>
    </w:p>
    <w:p w:rsidR="008073DF" w:rsidRDefault="00031549" w:rsidP="00746891">
      <w:pPr>
        <w:pStyle w:val="ListParagraph"/>
      </w:pPr>
      <w:r>
        <w:t xml:space="preserve">“Arts of the Islamic World, 640 to Now: A Beginner’s Guide,” </w:t>
      </w:r>
      <w:proofErr w:type="spellStart"/>
      <w:r>
        <w:t>Smarthistory</w:t>
      </w:r>
      <w:proofErr w:type="spellEnd"/>
      <w:r>
        <w:t xml:space="preserve"> (</w:t>
      </w:r>
      <w:r>
        <w:rPr>
          <w:i/>
        </w:rPr>
        <w:t>whole section</w:t>
      </w:r>
      <w:r>
        <w:t>), various</w:t>
      </w:r>
      <w:r>
        <w:rPr>
          <w:spacing w:val="-4"/>
        </w:rPr>
        <w:t xml:space="preserve"> </w:t>
      </w:r>
      <w:r>
        <w:t>dates.</w:t>
      </w:r>
    </w:p>
    <w:p w:rsidR="008073DF" w:rsidRDefault="00031549" w:rsidP="00746891">
      <w:pPr>
        <w:pStyle w:val="ListParagraph"/>
      </w:pPr>
      <w:r>
        <w:t xml:space="preserve">“Vegetal Patterns in Islamic Art,” </w:t>
      </w:r>
      <w:proofErr w:type="spellStart"/>
      <w:r>
        <w:t>Smarthistory</w:t>
      </w:r>
      <w:proofErr w:type="spellEnd"/>
      <w:r>
        <w:t>,</w:t>
      </w:r>
      <w:r>
        <w:rPr>
          <w:smallCaps/>
          <w:spacing w:val="-7"/>
        </w:rPr>
        <w:t xml:space="preserve"> </w:t>
      </w:r>
      <w:r>
        <w:rPr>
          <w:smallCaps/>
        </w:rPr>
        <w:t>2001.</w:t>
      </w:r>
    </w:p>
    <w:p w:rsidR="008073DF" w:rsidRDefault="008073DF" w:rsidP="00746891">
      <w:pPr>
        <w:tabs>
          <w:tab w:val="left" w:pos="2160"/>
        </w:tabs>
      </w:pPr>
    </w:p>
    <w:p w:rsidR="008073DF" w:rsidRDefault="00031549" w:rsidP="00746891">
      <w:pPr>
        <w:tabs>
          <w:tab w:val="left" w:pos="2160"/>
        </w:tabs>
      </w:pPr>
      <w:r>
        <w:rPr>
          <w:w w:val="99"/>
        </w:rPr>
        <w:t>November</w:t>
      </w:r>
      <w:r>
        <w:rPr>
          <w:spacing w:val="-1"/>
        </w:rPr>
        <w:t xml:space="preserve"> </w:t>
      </w:r>
      <w:r>
        <w:rPr>
          <w:smallCaps/>
        </w:rPr>
        <w:t>1:</w:t>
      </w:r>
      <w:r>
        <w:tab/>
      </w:r>
      <w:r w:rsidRPr="00746891">
        <w:rPr>
          <w:rStyle w:val="Heading2Char"/>
        </w:rPr>
        <w:t>Islamic Applied Arts: “Ornamentation”</w:t>
      </w:r>
    </w:p>
    <w:p w:rsidR="008073DF" w:rsidRDefault="00031549" w:rsidP="00746891">
      <w:pPr>
        <w:pStyle w:val="ListParagraph"/>
      </w:pPr>
      <w:r>
        <w:t xml:space="preserve">Marika </w:t>
      </w:r>
      <w:proofErr w:type="spellStart"/>
      <w:r>
        <w:t>Sadar</w:t>
      </w:r>
      <w:proofErr w:type="spellEnd"/>
      <w:r>
        <w:t xml:space="preserve">, “The Arts of the Book in the Islamic World, </w:t>
      </w:r>
      <w:r>
        <w:rPr>
          <w:smallCaps/>
        </w:rPr>
        <w:t>1600- 1800,”</w:t>
      </w:r>
      <w:r>
        <w:t xml:space="preserve"> HTAH,</w:t>
      </w:r>
      <w:r>
        <w:rPr>
          <w:spacing w:val="-2"/>
        </w:rPr>
        <w:t xml:space="preserve"> </w:t>
      </w:r>
      <w:r>
        <w:rPr>
          <w:smallCaps/>
        </w:rPr>
        <w:t>2003.</w:t>
      </w:r>
    </w:p>
    <w:p w:rsidR="008073DF" w:rsidRDefault="00031549" w:rsidP="00746891">
      <w:pPr>
        <w:pStyle w:val="ListParagraph"/>
      </w:pPr>
      <w:r>
        <w:t>“Calligraphy in Islamic Art,” “Geometric Patterns in Islamic</w:t>
      </w:r>
      <w:r>
        <w:rPr>
          <w:spacing w:val="-10"/>
        </w:rPr>
        <w:t xml:space="preserve"> </w:t>
      </w:r>
      <w:r>
        <w:t>Art,” and “Figural Representation in Islamic Art,” HTAH, various</w:t>
      </w:r>
      <w:r>
        <w:rPr>
          <w:spacing w:val="-10"/>
        </w:rPr>
        <w:t xml:space="preserve"> </w:t>
      </w:r>
      <w:r>
        <w:t>dates.</w:t>
      </w:r>
    </w:p>
    <w:p w:rsidR="008073DF" w:rsidRDefault="008073DF" w:rsidP="00746891">
      <w:pPr>
        <w:tabs>
          <w:tab w:val="left" w:pos="2160"/>
        </w:tabs>
      </w:pPr>
    </w:p>
    <w:p w:rsidR="008073DF" w:rsidRDefault="00031549" w:rsidP="00746891">
      <w:pPr>
        <w:tabs>
          <w:tab w:val="left" w:pos="2160"/>
        </w:tabs>
      </w:pPr>
      <w:r>
        <w:t>November</w:t>
      </w:r>
      <w:r>
        <w:rPr>
          <w:spacing w:val="-2"/>
        </w:rPr>
        <w:t xml:space="preserve"> </w:t>
      </w:r>
      <w:r>
        <w:t>6:</w:t>
      </w:r>
      <w:r>
        <w:tab/>
      </w:r>
      <w:r w:rsidRPr="00746891">
        <w:rPr>
          <w:rStyle w:val="Heading2Char"/>
        </w:rPr>
        <w:t>Italian Renaissance: “Convention”</w:t>
      </w:r>
    </w:p>
    <w:p w:rsidR="008073DF" w:rsidRDefault="00031549" w:rsidP="00746891">
      <w:pPr>
        <w:pStyle w:val="ListParagraph"/>
      </w:pPr>
      <w:r>
        <w:t xml:space="preserve">Beth Harris and Steven Zucker, “How to Recognize Italian Renaissance Art,” </w:t>
      </w:r>
      <w:proofErr w:type="spellStart"/>
      <w:r>
        <w:t>Smarthistory</w:t>
      </w:r>
      <w:proofErr w:type="spellEnd"/>
      <w:r>
        <w:t>,</w:t>
      </w:r>
      <w:r>
        <w:rPr>
          <w:smallCaps/>
          <w:spacing w:val="-4"/>
        </w:rPr>
        <w:t xml:space="preserve"> </w:t>
      </w:r>
      <w:r>
        <w:rPr>
          <w:smallCaps/>
        </w:rPr>
        <w:t>2017.</w:t>
      </w:r>
    </w:p>
    <w:p w:rsidR="008073DF" w:rsidRDefault="00031549" w:rsidP="00746891">
      <w:pPr>
        <w:pStyle w:val="ListParagraph"/>
      </w:pPr>
      <w:r>
        <w:t xml:space="preserve">“Renaissance in Italy: </w:t>
      </w:r>
      <w:r>
        <w:rPr>
          <w:smallCaps/>
        </w:rPr>
        <w:t>1500s:</w:t>
      </w:r>
      <w:r>
        <w:t xml:space="preserve"> A Beginner’s Guide,”</w:t>
      </w:r>
      <w:r>
        <w:rPr>
          <w:spacing w:val="-14"/>
        </w:rPr>
        <w:t xml:space="preserve"> </w:t>
      </w:r>
      <w:proofErr w:type="spellStart"/>
      <w:r>
        <w:t>Smarthistory</w:t>
      </w:r>
      <w:proofErr w:type="spellEnd"/>
      <w:r>
        <w:t>, (</w:t>
      </w:r>
      <w:r>
        <w:rPr>
          <w:i/>
        </w:rPr>
        <w:t>whole section</w:t>
      </w:r>
      <w:r>
        <w:t>), various</w:t>
      </w:r>
      <w:r>
        <w:rPr>
          <w:spacing w:val="-2"/>
        </w:rPr>
        <w:t xml:space="preserve"> </w:t>
      </w:r>
      <w:r>
        <w:t>dates.</w:t>
      </w:r>
    </w:p>
    <w:p w:rsidR="008073DF" w:rsidRDefault="00031549" w:rsidP="00746891">
      <w:pPr>
        <w:pStyle w:val="ListParagraph"/>
      </w:pPr>
      <w:r>
        <w:t>“The Rediscovery of Classical Antiquity” and “Architecture in Renaissance Italy,” HTAH, various</w:t>
      </w:r>
      <w:r>
        <w:rPr>
          <w:spacing w:val="-5"/>
        </w:rPr>
        <w:t xml:space="preserve"> </w:t>
      </w:r>
      <w:r>
        <w:t>dates.</w:t>
      </w:r>
    </w:p>
    <w:p w:rsidR="008073DF" w:rsidRDefault="008073DF" w:rsidP="00746891">
      <w:pPr>
        <w:tabs>
          <w:tab w:val="left" w:pos="2160"/>
        </w:tabs>
        <w:sectPr w:rsidR="008073DF">
          <w:pgSz w:w="12240" w:h="15840"/>
          <w:pgMar w:top="1340" w:right="1340" w:bottom="280" w:left="1320" w:header="721" w:footer="0" w:gutter="0"/>
          <w:cols w:space="720"/>
        </w:sectPr>
      </w:pPr>
    </w:p>
    <w:p w:rsidR="00746891" w:rsidRPr="00746891" w:rsidRDefault="00031549" w:rsidP="00746891">
      <w:pPr>
        <w:tabs>
          <w:tab w:val="left" w:pos="2160"/>
        </w:tabs>
        <w:rPr>
          <w:b/>
          <w:i/>
        </w:rPr>
      </w:pPr>
      <w:r>
        <w:lastRenderedPageBreak/>
        <w:t>November</w:t>
      </w:r>
      <w:r>
        <w:rPr>
          <w:spacing w:val="-2"/>
        </w:rPr>
        <w:t xml:space="preserve"> </w:t>
      </w:r>
      <w:r>
        <w:t>8:</w:t>
      </w:r>
      <w:r>
        <w:tab/>
      </w:r>
      <w:r w:rsidRPr="00746891">
        <w:rPr>
          <w:b/>
          <w:i/>
        </w:rPr>
        <w:t>Architectural Analysis due</w:t>
      </w:r>
    </w:p>
    <w:p w:rsidR="008073DF" w:rsidRDefault="00746891" w:rsidP="00746891">
      <w:pPr>
        <w:pStyle w:val="Heading2"/>
      </w:pPr>
      <w:r w:rsidRPr="00746891">
        <w:rPr>
          <w:u w:val="none"/>
        </w:rPr>
        <w:tab/>
      </w:r>
      <w:r w:rsidR="00031549">
        <w:t>Italian Baroque: “</w:t>
      </w:r>
      <w:r w:rsidR="000240B8">
        <w:t>Emotion</w:t>
      </w:r>
      <w:r w:rsidR="00031549">
        <w:t>”</w:t>
      </w:r>
    </w:p>
    <w:p w:rsidR="008073DF" w:rsidRDefault="00031549" w:rsidP="00746891">
      <w:pPr>
        <w:pStyle w:val="ListParagraph"/>
      </w:pPr>
      <w:r>
        <w:t xml:space="preserve">Steven Zucker and Beth Harris, “Introduction to the Protestant Reformation (part 4 of 4): The Counter-Reformation,” </w:t>
      </w:r>
      <w:proofErr w:type="spellStart"/>
      <w:r>
        <w:t>Smarthistory</w:t>
      </w:r>
      <w:proofErr w:type="spellEnd"/>
      <w:r>
        <w:t>,</w:t>
      </w:r>
      <w:r>
        <w:rPr>
          <w:smallCaps/>
          <w:spacing w:val="-2"/>
        </w:rPr>
        <w:t xml:space="preserve"> </w:t>
      </w:r>
      <w:r>
        <w:rPr>
          <w:smallCaps/>
        </w:rPr>
        <w:t>2015.</w:t>
      </w:r>
    </w:p>
    <w:p w:rsidR="008073DF" w:rsidRDefault="00031549" w:rsidP="00746891">
      <w:pPr>
        <w:pStyle w:val="ListParagraph"/>
      </w:pPr>
      <w:r>
        <w:t xml:space="preserve">“Baroque Art: </w:t>
      </w:r>
      <w:r>
        <w:rPr>
          <w:smallCaps/>
        </w:rPr>
        <w:t>1600s:</w:t>
      </w:r>
      <w:r>
        <w:t xml:space="preserve"> A Beginner’s Guide,” </w:t>
      </w:r>
      <w:proofErr w:type="spellStart"/>
      <w:r>
        <w:t>Smarthistory</w:t>
      </w:r>
      <w:proofErr w:type="spellEnd"/>
      <w:r>
        <w:rPr>
          <w:spacing w:val="-15"/>
        </w:rPr>
        <w:t xml:space="preserve"> </w:t>
      </w:r>
      <w:r>
        <w:t>(</w:t>
      </w:r>
      <w:r>
        <w:rPr>
          <w:i/>
        </w:rPr>
        <w:t>whole section</w:t>
      </w:r>
      <w:r>
        <w:t>), various</w:t>
      </w:r>
      <w:r>
        <w:rPr>
          <w:spacing w:val="-3"/>
        </w:rPr>
        <w:t xml:space="preserve"> </w:t>
      </w:r>
      <w:r>
        <w:t>dates.</w:t>
      </w:r>
    </w:p>
    <w:p w:rsidR="008073DF" w:rsidRDefault="00031549" w:rsidP="00746891">
      <w:pPr>
        <w:pStyle w:val="ListParagraph"/>
      </w:pPr>
      <w:r>
        <w:t xml:space="preserve">Jean </w:t>
      </w:r>
      <w:proofErr w:type="spellStart"/>
      <w:r>
        <w:t>Sorabella</w:t>
      </w:r>
      <w:proofErr w:type="spellEnd"/>
      <w:r>
        <w:t>, “Baroque Rome,” HTAH,</w:t>
      </w:r>
      <w:r>
        <w:rPr>
          <w:spacing w:val="-6"/>
        </w:rPr>
        <w:t xml:space="preserve"> </w:t>
      </w:r>
      <w:r>
        <w:rPr>
          <w:smallCaps/>
        </w:rPr>
        <w:t>2003.</w:t>
      </w:r>
    </w:p>
    <w:p w:rsidR="008073DF" w:rsidRDefault="00031549" w:rsidP="00746891">
      <w:pPr>
        <w:pStyle w:val="ListParagraph"/>
      </w:pPr>
      <w:r>
        <w:t>“The Papacy and the Vatican Palace,” HTAH,</w:t>
      </w:r>
      <w:r>
        <w:rPr>
          <w:smallCaps/>
          <w:spacing w:val="-8"/>
        </w:rPr>
        <w:t xml:space="preserve"> </w:t>
      </w:r>
      <w:r>
        <w:rPr>
          <w:smallCaps/>
        </w:rPr>
        <w:t>2002.</w:t>
      </w:r>
    </w:p>
    <w:p w:rsidR="008073DF" w:rsidRDefault="008073DF" w:rsidP="00746891">
      <w:pPr>
        <w:tabs>
          <w:tab w:val="left" w:pos="2160"/>
        </w:tabs>
      </w:pPr>
    </w:p>
    <w:p w:rsidR="008073DF" w:rsidRDefault="00031549" w:rsidP="00746891">
      <w:pPr>
        <w:tabs>
          <w:tab w:val="left" w:pos="2160"/>
        </w:tabs>
      </w:pPr>
      <w:r>
        <w:rPr>
          <w:w w:val="99"/>
        </w:rPr>
        <w:t>November</w:t>
      </w:r>
      <w:r>
        <w:rPr>
          <w:spacing w:val="-1"/>
        </w:rPr>
        <w:t xml:space="preserve"> </w:t>
      </w:r>
      <w:r>
        <w:rPr>
          <w:smallCaps/>
        </w:rPr>
        <w:t>13:</w:t>
      </w:r>
      <w:r>
        <w:tab/>
      </w:r>
      <w:r w:rsidRPr="00746891">
        <w:rPr>
          <w:rStyle w:val="Heading2Char"/>
        </w:rPr>
        <w:t>Dutch Baroque: “Secularism”</w:t>
      </w:r>
    </w:p>
    <w:p w:rsidR="008073DF" w:rsidRDefault="00031549" w:rsidP="00746891">
      <w:pPr>
        <w:pStyle w:val="ListParagraph"/>
      </w:pPr>
      <w:r>
        <w:t>Jennifer Meagher, “Genre Painting in Northern Europe,”</w:t>
      </w:r>
      <w:r>
        <w:rPr>
          <w:spacing w:val="-10"/>
        </w:rPr>
        <w:t xml:space="preserve"> </w:t>
      </w:r>
      <w:r>
        <w:t>HTAH,</w:t>
      </w:r>
      <w:r>
        <w:rPr>
          <w:smallCaps/>
        </w:rPr>
        <w:t xml:space="preserve"> 2008.</w:t>
      </w:r>
    </w:p>
    <w:p w:rsidR="008073DF" w:rsidRDefault="00031549" w:rsidP="00746891">
      <w:pPr>
        <w:pStyle w:val="ListParagraph"/>
      </w:pPr>
      <w:r>
        <w:t>Walter Liedtke, “Johannes Vermeer</w:t>
      </w:r>
      <w:r>
        <w:rPr>
          <w:smallCaps/>
        </w:rPr>
        <w:t xml:space="preserve"> (1632-1675),”</w:t>
      </w:r>
      <w:r>
        <w:t xml:space="preserve"> “Landscape Painting in the Netherlands,” and “Still-Life Painting in</w:t>
      </w:r>
      <w:r>
        <w:rPr>
          <w:spacing w:val="-20"/>
        </w:rPr>
        <w:t xml:space="preserve"> </w:t>
      </w:r>
      <w:r>
        <w:t>Northern Europe,</w:t>
      </w:r>
      <w:r>
        <w:rPr>
          <w:smallCaps/>
        </w:rPr>
        <w:t xml:space="preserve"> 1600-1800,”</w:t>
      </w:r>
      <w:r>
        <w:t xml:space="preserve"> HTAH, various</w:t>
      </w:r>
      <w:r>
        <w:rPr>
          <w:spacing w:val="-5"/>
        </w:rPr>
        <w:t xml:space="preserve"> </w:t>
      </w:r>
      <w:r>
        <w:t>dates.</w:t>
      </w:r>
    </w:p>
    <w:p w:rsidR="008073DF" w:rsidRDefault="008073DF" w:rsidP="00746891">
      <w:pPr>
        <w:tabs>
          <w:tab w:val="left" w:pos="2160"/>
        </w:tabs>
      </w:pPr>
    </w:p>
    <w:p w:rsidR="008073DF" w:rsidRDefault="00031549" w:rsidP="00746891">
      <w:pPr>
        <w:tabs>
          <w:tab w:val="left" w:pos="2160"/>
        </w:tabs>
      </w:pPr>
      <w:r>
        <w:rPr>
          <w:w w:val="99"/>
        </w:rPr>
        <w:t>November</w:t>
      </w:r>
      <w:r>
        <w:t xml:space="preserve"> </w:t>
      </w:r>
      <w:r>
        <w:rPr>
          <w:smallCaps/>
          <w:w w:val="99"/>
        </w:rPr>
        <w:t>15:</w:t>
      </w:r>
      <w:r>
        <w:tab/>
      </w:r>
      <w:r w:rsidRPr="00746891">
        <w:rPr>
          <w:rStyle w:val="Heading2Char"/>
        </w:rPr>
        <w:t>Shinto Architecture: “Purity”</w:t>
      </w:r>
    </w:p>
    <w:p w:rsidR="008073DF" w:rsidRDefault="00031549" w:rsidP="00746891">
      <w:pPr>
        <w:pStyle w:val="ListParagraph"/>
      </w:pPr>
      <w:r>
        <w:t>“Shinto,” HTAH,</w:t>
      </w:r>
      <w:r>
        <w:rPr>
          <w:smallCaps/>
          <w:spacing w:val="-2"/>
        </w:rPr>
        <w:t xml:space="preserve"> </w:t>
      </w:r>
      <w:r>
        <w:rPr>
          <w:smallCaps/>
        </w:rPr>
        <w:t>2002.</w:t>
      </w:r>
    </w:p>
    <w:p w:rsidR="008073DF" w:rsidRDefault="008073DF" w:rsidP="00746891">
      <w:pPr>
        <w:tabs>
          <w:tab w:val="left" w:pos="2160"/>
        </w:tabs>
      </w:pPr>
    </w:p>
    <w:p w:rsidR="008073DF" w:rsidRDefault="00031549" w:rsidP="00746891">
      <w:pPr>
        <w:tabs>
          <w:tab w:val="left" w:pos="2160"/>
        </w:tabs>
      </w:pPr>
      <w:r>
        <w:rPr>
          <w:w w:val="99"/>
        </w:rPr>
        <w:t>November</w:t>
      </w:r>
      <w:r>
        <w:t xml:space="preserve"> </w:t>
      </w:r>
      <w:r>
        <w:rPr>
          <w:smallCaps/>
        </w:rPr>
        <w:t>20:</w:t>
      </w:r>
      <w:r>
        <w:tab/>
      </w:r>
      <w:r w:rsidRPr="00746891">
        <w:rPr>
          <w:rStyle w:val="Heading2Char"/>
        </w:rPr>
        <w:t>Photography: “Indexicality”</w:t>
      </w:r>
    </w:p>
    <w:p w:rsidR="008073DF" w:rsidRDefault="00031549" w:rsidP="00746891">
      <w:pPr>
        <w:pStyle w:val="ListParagraph"/>
      </w:pPr>
      <w:proofErr w:type="spellStart"/>
      <w:r>
        <w:t>Parme</w:t>
      </w:r>
      <w:proofErr w:type="spellEnd"/>
      <w:r>
        <w:t xml:space="preserve"> </w:t>
      </w:r>
      <w:proofErr w:type="spellStart"/>
      <w:r>
        <w:t>Giuntini</w:t>
      </w:r>
      <w:proofErr w:type="spellEnd"/>
      <w:r>
        <w:t xml:space="preserve">, “Becoming Modern, an Introduction,” </w:t>
      </w:r>
      <w:proofErr w:type="spellStart"/>
      <w:r>
        <w:t>Smarthistory</w:t>
      </w:r>
      <w:proofErr w:type="spellEnd"/>
      <w:r>
        <w:t>,</w:t>
      </w:r>
      <w:r>
        <w:rPr>
          <w:smallCaps/>
          <w:spacing w:val="-1"/>
        </w:rPr>
        <w:t xml:space="preserve"> </w:t>
      </w:r>
      <w:r>
        <w:rPr>
          <w:smallCaps/>
        </w:rPr>
        <w:t>2015.</w:t>
      </w:r>
    </w:p>
    <w:p w:rsidR="008073DF" w:rsidRDefault="00031549" w:rsidP="00746891">
      <w:pPr>
        <w:pStyle w:val="ListParagraph"/>
      </w:pPr>
      <w:r>
        <w:t>Malcolm Daniel, “Daguerre</w:t>
      </w:r>
      <w:r>
        <w:rPr>
          <w:smallCaps/>
        </w:rPr>
        <w:t xml:space="preserve"> (1787-1851)</w:t>
      </w:r>
      <w:r>
        <w:t xml:space="preserve"> and the Invention of Photography” and “William Henry Fox Talbot</w:t>
      </w:r>
      <w:r>
        <w:rPr>
          <w:smallCaps/>
        </w:rPr>
        <w:t xml:space="preserve"> (1800-1</w:t>
      </w:r>
      <w:r>
        <w:t>877) and</w:t>
      </w:r>
      <w:r>
        <w:rPr>
          <w:spacing w:val="-13"/>
        </w:rPr>
        <w:t xml:space="preserve"> </w:t>
      </w:r>
      <w:r>
        <w:t>the Invention of Photography,” HTAH,</w:t>
      </w:r>
      <w:r>
        <w:rPr>
          <w:spacing w:val="-5"/>
        </w:rPr>
        <w:t xml:space="preserve"> </w:t>
      </w:r>
      <w:r>
        <w:rPr>
          <w:smallCaps/>
        </w:rPr>
        <w:t>2004.</w:t>
      </w:r>
    </w:p>
    <w:p w:rsidR="008073DF" w:rsidRDefault="00031549" w:rsidP="00746891">
      <w:pPr>
        <w:pStyle w:val="ListParagraph"/>
      </w:pPr>
      <w:r>
        <w:t>Lisa Hostetler, “International Pictorialism” and “Alfred Stieglitz</w:t>
      </w:r>
      <w:r>
        <w:rPr>
          <w:smallCaps/>
        </w:rPr>
        <w:t xml:space="preserve"> (1864-1946)</w:t>
      </w:r>
      <w:r>
        <w:t xml:space="preserve"> and His Circle,” HTAH,</w:t>
      </w:r>
      <w:r>
        <w:rPr>
          <w:spacing w:val="-6"/>
        </w:rPr>
        <w:t xml:space="preserve"> </w:t>
      </w:r>
      <w:r>
        <w:rPr>
          <w:smallCaps/>
        </w:rPr>
        <w:t>2004.</w:t>
      </w:r>
    </w:p>
    <w:p w:rsidR="008073DF" w:rsidRDefault="008073DF" w:rsidP="00746891">
      <w:pPr>
        <w:tabs>
          <w:tab w:val="left" w:pos="2160"/>
        </w:tabs>
      </w:pPr>
    </w:p>
    <w:p w:rsidR="008073DF" w:rsidRPr="00746891" w:rsidRDefault="00031549" w:rsidP="00746891">
      <w:pPr>
        <w:tabs>
          <w:tab w:val="left" w:pos="2160"/>
        </w:tabs>
        <w:rPr>
          <w:rStyle w:val="Heading2Char"/>
        </w:rPr>
      </w:pPr>
      <w:r>
        <w:rPr>
          <w:w w:val="99"/>
        </w:rPr>
        <w:t>November</w:t>
      </w:r>
      <w:r>
        <w:rPr>
          <w:spacing w:val="-1"/>
        </w:rPr>
        <w:t xml:space="preserve"> </w:t>
      </w:r>
      <w:r>
        <w:rPr>
          <w:smallCaps/>
        </w:rPr>
        <w:t>22:</w:t>
      </w:r>
      <w:r>
        <w:tab/>
      </w:r>
      <w:r w:rsidRPr="00746891">
        <w:rPr>
          <w:rStyle w:val="Heading2Char"/>
        </w:rPr>
        <w:t>French Realism: “Proletariat”</w:t>
      </w:r>
    </w:p>
    <w:p w:rsidR="008073DF" w:rsidRDefault="00031549" w:rsidP="00746891">
      <w:pPr>
        <w:pStyle w:val="ListParagraph"/>
      </w:pPr>
      <w:r>
        <w:t>Jason Rosenfeld, “The Salon and the Royal Academy in</w:t>
      </w:r>
      <w:r>
        <w:rPr>
          <w:spacing w:val="-11"/>
        </w:rPr>
        <w:t xml:space="preserve"> </w:t>
      </w:r>
      <w:r>
        <w:t>the Nineteenth Century,” HTAH,</w:t>
      </w:r>
      <w:r>
        <w:rPr>
          <w:spacing w:val="-5"/>
        </w:rPr>
        <w:t xml:space="preserve"> </w:t>
      </w:r>
      <w:r>
        <w:rPr>
          <w:smallCaps/>
        </w:rPr>
        <w:t>2004.</w:t>
      </w:r>
    </w:p>
    <w:p w:rsidR="008073DF" w:rsidRDefault="00031549" w:rsidP="00746891">
      <w:pPr>
        <w:pStyle w:val="ListParagraph"/>
      </w:pPr>
      <w:r>
        <w:t xml:space="preserve">Ross Finocchio, “Nineteenth-Century French Realism,” </w:t>
      </w:r>
      <w:r>
        <w:rPr>
          <w:spacing w:val="-3"/>
        </w:rPr>
        <w:t>HTAH,</w:t>
      </w:r>
      <w:r>
        <w:rPr>
          <w:smallCaps/>
          <w:spacing w:val="-3"/>
        </w:rPr>
        <w:t xml:space="preserve"> </w:t>
      </w:r>
      <w:r>
        <w:rPr>
          <w:smallCaps/>
        </w:rPr>
        <w:t>2004.</w:t>
      </w:r>
    </w:p>
    <w:p w:rsidR="008073DF" w:rsidRDefault="00031549" w:rsidP="00746891">
      <w:pPr>
        <w:pStyle w:val="ListParagraph"/>
      </w:pPr>
      <w:r>
        <w:t xml:space="preserve">Kathryn </w:t>
      </w:r>
      <w:proofErr w:type="spellStart"/>
      <w:r>
        <w:t>Calley</w:t>
      </w:r>
      <w:proofErr w:type="spellEnd"/>
      <w:r>
        <w:t xml:space="preserve"> </w:t>
      </w:r>
      <w:proofErr w:type="spellStart"/>
      <w:r>
        <w:t>Galitz</w:t>
      </w:r>
      <w:proofErr w:type="spellEnd"/>
      <w:r>
        <w:t>, “Gustave Courbet</w:t>
      </w:r>
      <w:r>
        <w:rPr>
          <w:smallCaps/>
        </w:rPr>
        <w:t xml:space="preserve"> (1819-1877),”</w:t>
      </w:r>
      <w:r>
        <w:t xml:space="preserve"> HTAH,</w:t>
      </w:r>
      <w:r>
        <w:rPr>
          <w:smallCaps/>
        </w:rPr>
        <w:t xml:space="preserve"> 2009.</w:t>
      </w:r>
    </w:p>
    <w:p w:rsidR="008073DF" w:rsidRDefault="008073DF" w:rsidP="00746891">
      <w:pPr>
        <w:tabs>
          <w:tab w:val="left" w:pos="2160"/>
        </w:tabs>
      </w:pPr>
    </w:p>
    <w:p w:rsidR="008073DF" w:rsidRPr="00746891" w:rsidRDefault="00031549" w:rsidP="00746891">
      <w:pPr>
        <w:tabs>
          <w:tab w:val="left" w:pos="2160"/>
        </w:tabs>
        <w:rPr>
          <w:b/>
          <w:i/>
        </w:rPr>
      </w:pPr>
      <w:r>
        <w:rPr>
          <w:w w:val="99"/>
        </w:rPr>
        <w:t>November</w:t>
      </w:r>
      <w:r>
        <w:t xml:space="preserve"> </w:t>
      </w:r>
      <w:r>
        <w:rPr>
          <w:smallCaps/>
          <w:w w:val="99"/>
        </w:rPr>
        <w:t>27:</w:t>
      </w:r>
      <w:r>
        <w:tab/>
      </w:r>
      <w:r w:rsidRPr="00746891">
        <w:rPr>
          <w:b/>
          <w:i/>
        </w:rPr>
        <w:t xml:space="preserve">Comparison </w:t>
      </w:r>
      <w:r w:rsidRPr="00746891">
        <w:rPr>
          <w:b/>
          <w:i/>
          <w:w w:val="99"/>
        </w:rPr>
        <w:t>Assignment</w:t>
      </w:r>
      <w:r w:rsidRPr="00746891">
        <w:rPr>
          <w:b/>
          <w:i/>
        </w:rPr>
        <w:t xml:space="preserve"> due</w:t>
      </w:r>
    </w:p>
    <w:p w:rsidR="008073DF" w:rsidRPr="00025076" w:rsidRDefault="00025076" w:rsidP="00025076">
      <w:pPr>
        <w:pStyle w:val="Heading2"/>
      </w:pPr>
      <w:r w:rsidRPr="00025076">
        <w:rPr>
          <w:u w:val="none"/>
        </w:rPr>
        <w:tab/>
      </w:r>
      <w:r w:rsidR="00031549" w:rsidRPr="00025076">
        <w:t>French Impressionism: “Temporality”</w:t>
      </w:r>
    </w:p>
    <w:p w:rsidR="008073DF" w:rsidRPr="00746891" w:rsidRDefault="00031549" w:rsidP="00746891">
      <w:pPr>
        <w:pStyle w:val="ListParagraph"/>
      </w:pPr>
      <w:r w:rsidRPr="00746891">
        <w:t xml:space="preserve">“Impressionism: A Beginner’s Guide,” </w:t>
      </w:r>
      <w:proofErr w:type="spellStart"/>
      <w:r w:rsidRPr="00746891">
        <w:t>Smarthistory</w:t>
      </w:r>
      <w:proofErr w:type="spellEnd"/>
      <w:r w:rsidRPr="00746891">
        <w:t>, various dates.</w:t>
      </w:r>
    </w:p>
    <w:p w:rsidR="008073DF" w:rsidRPr="00746891" w:rsidRDefault="00031549" w:rsidP="00746891">
      <w:pPr>
        <w:pStyle w:val="ListParagraph"/>
      </w:pPr>
      <w:r w:rsidRPr="00746891">
        <w:t xml:space="preserve">Margaret </w:t>
      </w:r>
      <w:proofErr w:type="spellStart"/>
      <w:r w:rsidRPr="00746891">
        <w:t>Samu</w:t>
      </w:r>
      <w:proofErr w:type="spellEnd"/>
      <w:r w:rsidRPr="00746891">
        <w:t>, “Impressionism: Art and Modernity,” HTAH, 2004.</w:t>
      </w:r>
    </w:p>
    <w:p w:rsidR="008073DF" w:rsidRPr="00746891" w:rsidRDefault="00031549" w:rsidP="00746891">
      <w:pPr>
        <w:pStyle w:val="ListParagraph"/>
      </w:pPr>
      <w:r w:rsidRPr="00746891">
        <w:t xml:space="preserve">Laura </w:t>
      </w:r>
      <w:proofErr w:type="spellStart"/>
      <w:r w:rsidRPr="00746891">
        <w:t>Auricchio</w:t>
      </w:r>
      <w:proofErr w:type="spellEnd"/>
      <w:r w:rsidRPr="00746891">
        <w:t>, “Claude Monet (1840-1926),” HTAH, 2004. ‘</w:t>
      </w:r>
    </w:p>
    <w:p w:rsidR="008073DF" w:rsidRDefault="00031549" w:rsidP="00746891">
      <w:pPr>
        <w:pStyle w:val="ListParagraph"/>
      </w:pPr>
      <w:r w:rsidRPr="00746891">
        <w:t>Ruth Schenkel, “Edgar</w:t>
      </w:r>
      <w:r>
        <w:t xml:space="preserve"> Degas </w:t>
      </w:r>
      <w:r>
        <w:rPr>
          <w:smallCaps/>
        </w:rPr>
        <w:t>(1834-1917):</w:t>
      </w:r>
      <w:r>
        <w:t xml:space="preserve"> Painting and Drawing,” HTAH,</w:t>
      </w:r>
      <w:r>
        <w:rPr>
          <w:spacing w:val="-1"/>
        </w:rPr>
        <w:t xml:space="preserve"> </w:t>
      </w:r>
      <w:r>
        <w:rPr>
          <w:smallCaps/>
        </w:rPr>
        <w:t>2004.</w:t>
      </w:r>
    </w:p>
    <w:p w:rsidR="008073DF" w:rsidRDefault="008073DF" w:rsidP="00746891">
      <w:pPr>
        <w:tabs>
          <w:tab w:val="left" w:pos="2160"/>
        </w:tabs>
      </w:pPr>
    </w:p>
    <w:p w:rsidR="008073DF" w:rsidRDefault="00031549" w:rsidP="00746891">
      <w:pPr>
        <w:tabs>
          <w:tab w:val="left" w:pos="2160"/>
        </w:tabs>
      </w:pPr>
      <w:r>
        <w:rPr>
          <w:w w:val="99"/>
        </w:rPr>
        <w:t>November</w:t>
      </w:r>
      <w:r>
        <w:rPr>
          <w:spacing w:val="-1"/>
        </w:rPr>
        <w:t xml:space="preserve"> </w:t>
      </w:r>
      <w:r>
        <w:rPr>
          <w:smallCaps/>
        </w:rPr>
        <w:t>29:</w:t>
      </w:r>
      <w:r>
        <w:tab/>
      </w:r>
      <w:r w:rsidRPr="00025076">
        <w:rPr>
          <w:rStyle w:val="Heading2Char"/>
        </w:rPr>
        <w:t>The International Style: “Reduction”</w:t>
      </w:r>
    </w:p>
    <w:p w:rsidR="008073DF" w:rsidRDefault="00031549" w:rsidP="00746891">
      <w:pPr>
        <w:pStyle w:val="ListParagraph"/>
      </w:pPr>
      <w:r>
        <w:lastRenderedPageBreak/>
        <w:t xml:space="preserve">Alfred H. Barr, Jr., Philip Johnson, and Henry-Russell Hitchcock, Jr., introduction to </w:t>
      </w:r>
      <w:r>
        <w:rPr>
          <w:i/>
        </w:rPr>
        <w:t xml:space="preserve">Modern Architecture: International Exhibition </w:t>
      </w:r>
      <w:r>
        <w:t>(New York: Museum of Modern Art,</w:t>
      </w:r>
      <w:r>
        <w:rPr>
          <w:smallCaps/>
        </w:rPr>
        <w:t xml:space="preserve"> 1932),</w:t>
      </w:r>
      <w:r>
        <w:rPr>
          <w:smallCaps/>
          <w:spacing w:val="-10"/>
        </w:rPr>
        <w:t xml:space="preserve"> </w:t>
      </w:r>
      <w:r>
        <w:rPr>
          <w:smallCaps/>
        </w:rPr>
        <w:t>12-28.</w:t>
      </w:r>
    </w:p>
    <w:p w:rsidR="008073DF" w:rsidRDefault="008073DF" w:rsidP="00746891">
      <w:pPr>
        <w:tabs>
          <w:tab w:val="left" w:pos="2160"/>
        </w:tabs>
      </w:pPr>
    </w:p>
    <w:p w:rsidR="008073DF" w:rsidRDefault="00031549" w:rsidP="00746891">
      <w:pPr>
        <w:tabs>
          <w:tab w:val="left" w:pos="2160"/>
        </w:tabs>
      </w:pPr>
      <w:r>
        <w:t>December</w:t>
      </w:r>
      <w:r>
        <w:rPr>
          <w:spacing w:val="-2"/>
        </w:rPr>
        <w:t xml:space="preserve"> </w:t>
      </w:r>
      <w:r>
        <w:t>4:</w:t>
      </w:r>
      <w:r>
        <w:tab/>
      </w:r>
      <w:r w:rsidRPr="00025076">
        <w:rPr>
          <w:rStyle w:val="Heading2Char"/>
        </w:rPr>
        <w:t>Dada: “Critique”</w:t>
      </w:r>
    </w:p>
    <w:p w:rsidR="008073DF" w:rsidRDefault="00031549" w:rsidP="00746891">
      <w:pPr>
        <w:pStyle w:val="ListParagraph"/>
      </w:pPr>
      <w:r>
        <w:t>Nan Rosenthal, “Marcel Duchamp (1887-1968),” HTAH,</w:t>
      </w:r>
      <w:r>
        <w:rPr>
          <w:spacing w:val="-16"/>
        </w:rPr>
        <w:t xml:space="preserve"> </w:t>
      </w:r>
      <w:r>
        <w:t>2004.</w:t>
      </w:r>
    </w:p>
    <w:p w:rsidR="008073DF" w:rsidRDefault="00031549" w:rsidP="00746891">
      <w:pPr>
        <w:pStyle w:val="ListParagraph"/>
      </w:pPr>
      <w:r>
        <w:t xml:space="preserve">Tristan </w:t>
      </w:r>
      <w:proofErr w:type="spellStart"/>
      <w:r>
        <w:t>Tzara</w:t>
      </w:r>
      <w:proofErr w:type="spellEnd"/>
      <w:r>
        <w:t>, “Dada Manifesto 1918,”</w:t>
      </w:r>
      <w:r>
        <w:rPr>
          <w:spacing w:val="-6"/>
        </w:rPr>
        <w:t xml:space="preserve"> </w:t>
      </w:r>
      <w:r>
        <w:t>1918.</w:t>
      </w:r>
    </w:p>
    <w:p w:rsidR="008073DF" w:rsidRDefault="00031549" w:rsidP="00746891">
      <w:pPr>
        <w:pStyle w:val="ListParagraph"/>
      </w:pPr>
      <w:r>
        <w:rPr>
          <w:i/>
        </w:rPr>
        <w:t xml:space="preserve">The Blind Man </w:t>
      </w:r>
      <w:r>
        <w:t>2 (May 1917):</w:t>
      </w:r>
      <w:r>
        <w:rPr>
          <w:spacing w:val="-6"/>
        </w:rPr>
        <w:t xml:space="preserve"> </w:t>
      </w:r>
      <w:r>
        <w:t>4-6.</w:t>
      </w:r>
    </w:p>
    <w:p w:rsidR="008073DF" w:rsidRDefault="008073DF" w:rsidP="00746891">
      <w:pPr>
        <w:tabs>
          <w:tab w:val="left" w:pos="2160"/>
        </w:tabs>
      </w:pPr>
    </w:p>
    <w:p w:rsidR="008073DF" w:rsidRDefault="00031549" w:rsidP="00746891">
      <w:pPr>
        <w:tabs>
          <w:tab w:val="left" w:pos="2160"/>
        </w:tabs>
      </w:pPr>
      <w:r>
        <w:t>December</w:t>
      </w:r>
      <w:r>
        <w:rPr>
          <w:spacing w:val="-2"/>
        </w:rPr>
        <w:t xml:space="preserve"> </w:t>
      </w:r>
      <w:r>
        <w:t>6:</w:t>
      </w:r>
      <w:r>
        <w:tab/>
      </w:r>
      <w:r w:rsidRPr="00025076">
        <w:rPr>
          <w:rStyle w:val="Heading2Char"/>
        </w:rPr>
        <w:t>Postwar American Art: “Experimentation”</w:t>
      </w:r>
    </w:p>
    <w:p w:rsidR="008073DF" w:rsidRDefault="00031549" w:rsidP="00746891">
      <w:pPr>
        <w:pStyle w:val="ListParagraph"/>
      </w:pPr>
      <w:r>
        <w:t xml:space="preserve">“Conceptual Art: An Introduction,” </w:t>
      </w:r>
      <w:proofErr w:type="spellStart"/>
      <w:r>
        <w:t>Smarthistory</w:t>
      </w:r>
      <w:proofErr w:type="spellEnd"/>
      <w:r>
        <w:t>,</w:t>
      </w:r>
      <w:r>
        <w:rPr>
          <w:smallCaps/>
          <w:spacing w:val="-6"/>
        </w:rPr>
        <w:t xml:space="preserve"> </w:t>
      </w:r>
      <w:r>
        <w:rPr>
          <w:smallCaps/>
        </w:rPr>
        <w:t>2015.</w:t>
      </w:r>
    </w:p>
    <w:p w:rsidR="008073DF" w:rsidRDefault="00031549" w:rsidP="00746891">
      <w:pPr>
        <w:pStyle w:val="ListParagraph"/>
      </w:pPr>
      <w:r>
        <w:t xml:space="preserve">Virginia P. Spivey, “Performance Art: An Introduction,” </w:t>
      </w:r>
      <w:proofErr w:type="spellStart"/>
      <w:r>
        <w:t>Smarthistory</w:t>
      </w:r>
      <w:proofErr w:type="spellEnd"/>
      <w:r>
        <w:t>,</w:t>
      </w:r>
      <w:r>
        <w:rPr>
          <w:smallCaps/>
          <w:spacing w:val="-1"/>
        </w:rPr>
        <w:t xml:space="preserve"> </w:t>
      </w:r>
      <w:r>
        <w:rPr>
          <w:smallCaps/>
        </w:rPr>
        <w:t>2015.</w:t>
      </w:r>
    </w:p>
    <w:p w:rsidR="008073DF" w:rsidRDefault="00031549" w:rsidP="00746891">
      <w:pPr>
        <w:pStyle w:val="ListParagraph"/>
      </w:pPr>
      <w:r>
        <w:t>Douglas Eklund, “Conceptual Art and Photography,” HTAH,</w:t>
      </w:r>
      <w:r>
        <w:rPr>
          <w:smallCaps/>
        </w:rPr>
        <w:t xml:space="preserve"> 2004.</w:t>
      </w:r>
    </w:p>
    <w:p w:rsidR="008073DF" w:rsidRDefault="00031549" w:rsidP="00746891">
      <w:pPr>
        <w:pStyle w:val="ListParagraph"/>
      </w:pPr>
      <w:r>
        <w:t xml:space="preserve">Sol </w:t>
      </w:r>
      <w:proofErr w:type="spellStart"/>
      <w:r>
        <w:t>LeWitt</w:t>
      </w:r>
      <w:proofErr w:type="spellEnd"/>
      <w:r>
        <w:t>, “Paragraphs on Conceptual Art,”</w:t>
      </w:r>
      <w:r>
        <w:rPr>
          <w:spacing w:val="-7"/>
        </w:rPr>
        <w:t xml:space="preserve"> </w:t>
      </w:r>
      <w:r>
        <w:rPr>
          <w:smallCaps/>
        </w:rPr>
        <w:t>1967.</w:t>
      </w:r>
    </w:p>
    <w:p w:rsidR="008073DF" w:rsidRDefault="008073DF" w:rsidP="00746891">
      <w:pPr>
        <w:tabs>
          <w:tab w:val="left" w:pos="2160"/>
        </w:tabs>
      </w:pPr>
    </w:p>
    <w:p w:rsidR="008073DF" w:rsidRPr="00746891" w:rsidRDefault="00031549" w:rsidP="000240B8">
      <w:pPr>
        <w:tabs>
          <w:tab w:val="left" w:pos="2160"/>
        </w:tabs>
      </w:pPr>
      <w:r>
        <w:rPr>
          <w:w w:val="99"/>
        </w:rPr>
        <w:t>December</w:t>
      </w:r>
      <w:r>
        <w:rPr>
          <w:spacing w:val="-2"/>
        </w:rPr>
        <w:t xml:space="preserve"> </w:t>
      </w:r>
      <w:r>
        <w:rPr>
          <w:smallCaps/>
        </w:rPr>
        <w:t>11:</w:t>
      </w:r>
      <w:r>
        <w:tab/>
        <w:t>Contemporary Art: “Technology”</w:t>
      </w:r>
    </w:p>
    <w:p w:rsidR="008073DF" w:rsidRPr="00746891" w:rsidRDefault="00031549" w:rsidP="00746891">
      <w:pPr>
        <w:pStyle w:val="ListParagraph"/>
      </w:pPr>
      <w:r w:rsidRPr="00746891">
        <w:t xml:space="preserve">Virginia P. Spivey, “Contemporary Art, an Introduction,” </w:t>
      </w:r>
      <w:proofErr w:type="spellStart"/>
      <w:r w:rsidRPr="00746891">
        <w:t>Smarthistory</w:t>
      </w:r>
      <w:proofErr w:type="spellEnd"/>
      <w:r w:rsidRPr="00746891">
        <w:t>, 2015.</w:t>
      </w:r>
    </w:p>
    <w:p w:rsidR="008073DF" w:rsidRDefault="00031549" w:rsidP="00746891">
      <w:pPr>
        <w:pStyle w:val="ListParagraph"/>
      </w:pPr>
      <w:r w:rsidRPr="00746891">
        <w:t xml:space="preserve">Hito </w:t>
      </w:r>
      <w:proofErr w:type="spellStart"/>
      <w:r w:rsidRPr="00746891">
        <w:t>Steyerl</w:t>
      </w:r>
      <w:proofErr w:type="spellEnd"/>
      <w:r w:rsidRPr="00746891">
        <w:t>, “In Defense of the Poor Image,”</w:t>
      </w:r>
      <w:r>
        <w:t xml:space="preserve"> </w:t>
      </w:r>
      <w:r>
        <w:rPr>
          <w:i/>
        </w:rPr>
        <w:t xml:space="preserve">e-flux </w:t>
      </w:r>
      <w:r>
        <w:rPr>
          <w:smallCaps/>
        </w:rPr>
        <w:t>10</w:t>
      </w:r>
      <w:r>
        <w:t xml:space="preserve"> (November</w:t>
      </w:r>
      <w:r>
        <w:rPr>
          <w:smallCaps/>
        </w:rPr>
        <w:t xml:space="preserve"> 2009).</w:t>
      </w:r>
    </w:p>
    <w:p w:rsidR="008073DF" w:rsidRDefault="008073DF" w:rsidP="00746891">
      <w:pPr>
        <w:tabs>
          <w:tab w:val="left" w:pos="2160"/>
        </w:tabs>
      </w:pPr>
    </w:p>
    <w:p w:rsidR="008073DF" w:rsidRPr="000240B8" w:rsidRDefault="00031549" w:rsidP="00746891">
      <w:pPr>
        <w:tabs>
          <w:tab w:val="left" w:pos="2160"/>
        </w:tabs>
        <w:rPr>
          <w:b/>
          <w:i/>
          <w:spacing w:val="-1"/>
        </w:rPr>
      </w:pPr>
      <w:r>
        <w:rPr>
          <w:w w:val="99"/>
        </w:rPr>
        <w:t>December</w:t>
      </w:r>
      <w:r>
        <w:rPr>
          <w:spacing w:val="-2"/>
        </w:rPr>
        <w:t xml:space="preserve"> </w:t>
      </w:r>
      <w:r>
        <w:rPr>
          <w:smallCaps/>
        </w:rPr>
        <w:t>13:</w:t>
      </w:r>
      <w:r>
        <w:tab/>
      </w:r>
      <w:r w:rsidRPr="00746891">
        <w:rPr>
          <w:b/>
          <w:i/>
          <w:spacing w:val="-1"/>
          <w:w w:val="99"/>
        </w:rPr>
        <w:t>Rev</w:t>
      </w:r>
      <w:r w:rsidRPr="00746891">
        <w:rPr>
          <w:b/>
          <w:i/>
          <w:spacing w:val="1"/>
          <w:w w:val="99"/>
        </w:rPr>
        <w:t>i</w:t>
      </w:r>
      <w:r w:rsidRPr="00746891">
        <w:rPr>
          <w:b/>
          <w:i/>
          <w:spacing w:val="-1"/>
          <w:w w:val="99"/>
        </w:rPr>
        <w:t>sio</w:t>
      </w:r>
      <w:r w:rsidRPr="00746891">
        <w:rPr>
          <w:b/>
          <w:i/>
          <w:w w:val="99"/>
        </w:rPr>
        <w:t xml:space="preserve">n </w:t>
      </w:r>
      <w:r w:rsidRPr="00746891">
        <w:rPr>
          <w:b/>
          <w:i/>
          <w:spacing w:val="-1"/>
          <w:w w:val="99"/>
        </w:rPr>
        <w:t>Assignmen</w:t>
      </w:r>
      <w:r w:rsidRPr="00746891">
        <w:rPr>
          <w:b/>
          <w:i/>
          <w:w w:val="99"/>
        </w:rPr>
        <w:t>t</w:t>
      </w:r>
      <w:r w:rsidRPr="00746891">
        <w:rPr>
          <w:b/>
          <w:i/>
        </w:rPr>
        <w:t xml:space="preserve"> </w:t>
      </w:r>
      <w:r w:rsidRPr="00746891">
        <w:rPr>
          <w:b/>
          <w:i/>
          <w:spacing w:val="-1"/>
        </w:rPr>
        <w:t>due</w:t>
      </w:r>
    </w:p>
    <w:p w:rsidR="008073DF" w:rsidRDefault="008073DF" w:rsidP="00746891">
      <w:pPr>
        <w:tabs>
          <w:tab w:val="left" w:pos="2160"/>
        </w:tabs>
      </w:pPr>
    </w:p>
    <w:p w:rsidR="008073DF" w:rsidRDefault="00031549" w:rsidP="00746891">
      <w:pPr>
        <w:tabs>
          <w:tab w:val="left" w:pos="2160"/>
        </w:tabs>
        <w:rPr>
          <w:b/>
          <w:i/>
        </w:rPr>
      </w:pPr>
      <w:r>
        <w:rPr>
          <w:w w:val="99"/>
        </w:rPr>
        <w:t>December</w:t>
      </w:r>
      <w:r>
        <w:rPr>
          <w:spacing w:val="-2"/>
        </w:rPr>
        <w:t xml:space="preserve"> </w:t>
      </w:r>
      <w:r>
        <w:rPr>
          <w:smallCaps/>
        </w:rPr>
        <w:t>20:</w:t>
      </w:r>
      <w:r>
        <w:tab/>
      </w:r>
      <w:r>
        <w:rPr>
          <w:b/>
          <w:i/>
          <w:spacing w:val="-1"/>
          <w:w w:val="99"/>
        </w:rPr>
        <w:t>Fina</w:t>
      </w:r>
      <w:r>
        <w:rPr>
          <w:b/>
          <w:i/>
          <w:w w:val="99"/>
        </w:rPr>
        <w:t>l</w:t>
      </w:r>
      <w:r>
        <w:rPr>
          <w:b/>
          <w:i/>
        </w:rPr>
        <w:t xml:space="preserve"> </w:t>
      </w:r>
      <w:r>
        <w:rPr>
          <w:b/>
          <w:i/>
          <w:spacing w:val="-1"/>
          <w:w w:val="99"/>
        </w:rPr>
        <w:t>Exam</w:t>
      </w:r>
    </w:p>
    <w:sectPr w:rsidR="008073DF">
      <w:pgSz w:w="12240" w:h="15840"/>
      <w:pgMar w:top="1340" w:right="1340" w:bottom="280" w:left="1320" w:header="7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1034" w:rsidRDefault="00131034" w:rsidP="00726E08">
      <w:r>
        <w:separator/>
      </w:r>
    </w:p>
    <w:p w:rsidR="00131034" w:rsidRDefault="00131034" w:rsidP="00726E08"/>
  </w:endnote>
  <w:endnote w:type="continuationSeparator" w:id="0">
    <w:p w:rsidR="00131034" w:rsidRDefault="00131034" w:rsidP="00726E08">
      <w:r>
        <w:continuationSeparator/>
      </w:r>
    </w:p>
    <w:p w:rsidR="00131034" w:rsidRDefault="00131034" w:rsidP="00726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1034" w:rsidRDefault="00131034" w:rsidP="00726E08">
      <w:r>
        <w:separator/>
      </w:r>
    </w:p>
    <w:p w:rsidR="00131034" w:rsidRDefault="00131034" w:rsidP="00726E08"/>
  </w:footnote>
  <w:footnote w:type="continuationSeparator" w:id="0">
    <w:p w:rsidR="00131034" w:rsidRDefault="00131034" w:rsidP="00726E08">
      <w:r>
        <w:continuationSeparator/>
      </w:r>
    </w:p>
    <w:p w:rsidR="00131034" w:rsidRDefault="00131034" w:rsidP="00726E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6281525"/>
      <w:docPartObj>
        <w:docPartGallery w:val="Page Numbers (Top of Page)"/>
        <w:docPartUnique/>
      </w:docPartObj>
    </w:sdtPr>
    <w:sdtEndPr>
      <w:rPr>
        <w:rStyle w:val="PageNumber"/>
      </w:rPr>
    </w:sdtEndPr>
    <w:sdtContent>
      <w:p w:rsidR="00655A92" w:rsidRDefault="00655A92" w:rsidP="00726E08">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55A92" w:rsidRDefault="00655A92" w:rsidP="00726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55A92" w:rsidRPr="00655A92" w:rsidRDefault="00655A92" w:rsidP="00F4481C">
    <w:pPr>
      <w:jc w:val="right"/>
    </w:pPr>
    <w:r w:rsidRPr="00655A92">
      <w:t xml:space="preserve">ARTD.1010 F17 </w:t>
    </w:r>
    <w:sdt>
      <w:sdtPr>
        <w:id w:val="1387069637"/>
        <w:docPartObj>
          <w:docPartGallery w:val="Page Numbers (Top of Page)"/>
          <w:docPartUnique/>
        </w:docPartObj>
      </w:sdtPr>
      <w:sdtEndPr/>
      <w:sdtContent>
        <w:r w:rsidRPr="00655A92">
          <w:fldChar w:fldCharType="begin"/>
        </w:r>
        <w:r w:rsidRPr="00655A92">
          <w:instrText xml:space="preserve"> PAGE </w:instrText>
        </w:r>
        <w:r w:rsidRPr="00655A92">
          <w:fldChar w:fldCharType="separate"/>
        </w:r>
        <w:r w:rsidRPr="00655A92">
          <w:t>171</w:t>
        </w:r>
        <w:r w:rsidRPr="00655A92">
          <w:fldChar w:fldCharType="end"/>
        </w:r>
      </w:sdtContent>
    </w:sdt>
  </w:p>
  <w:p w:rsidR="008073DF" w:rsidRDefault="008073DF" w:rsidP="00726E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1CA5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E6A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A09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9497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1AD4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E63F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182B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627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066F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3654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EC6D1E"/>
    <w:multiLevelType w:val="hybridMultilevel"/>
    <w:tmpl w:val="D9F66522"/>
    <w:lvl w:ilvl="0" w:tplc="7F44B910">
      <w:numFmt w:val="bullet"/>
      <w:lvlText w:val="-"/>
      <w:lvlJc w:val="left"/>
      <w:pPr>
        <w:ind w:left="720" w:hanging="360"/>
      </w:pPr>
      <w:rPr>
        <w:rFonts w:ascii="Georgia" w:eastAsia="Georgia" w:hAnsi="Georgia" w:cs="Georgia" w:hint="default"/>
        <w:spacing w:val="-1"/>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A209A"/>
    <w:multiLevelType w:val="hybridMultilevel"/>
    <w:tmpl w:val="FC7EF624"/>
    <w:lvl w:ilvl="0" w:tplc="7F44B910">
      <w:numFmt w:val="bullet"/>
      <w:lvlText w:val="-"/>
      <w:lvlJc w:val="left"/>
      <w:pPr>
        <w:ind w:left="840" w:hanging="360"/>
      </w:pPr>
      <w:rPr>
        <w:rFonts w:ascii="Georgia" w:eastAsia="Georgia" w:hAnsi="Georgia" w:cs="Georgia" w:hint="default"/>
        <w:spacing w:val="-1"/>
        <w:w w:val="99"/>
        <w:sz w:val="24"/>
        <w:szCs w:val="24"/>
        <w:lang w:val="en-US" w:eastAsia="en-US" w:bidi="ar-SA"/>
      </w:rPr>
    </w:lvl>
    <w:lvl w:ilvl="1" w:tplc="473C578A">
      <w:numFmt w:val="bullet"/>
      <w:lvlText w:val="-"/>
      <w:lvlJc w:val="left"/>
      <w:pPr>
        <w:ind w:left="2280" w:hanging="148"/>
      </w:pPr>
      <w:rPr>
        <w:rFonts w:ascii="Georgia" w:eastAsia="Georgia" w:hAnsi="Georgia" w:cs="Georgia" w:hint="default"/>
        <w:w w:val="99"/>
        <w:sz w:val="24"/>
        <w:szCs w:val="24"/>
        <w:lang w:val="en-US" w:eastAsia="en-US" w:bidi="ar-SA"/>
      </w:rPr>
    </w:lvl>
    <w:lvl w:ilvl="2" w:tplc="BC327AE6">
      <w:numFmt w:val="bullet"/>
      <w:lvlText w:val="•"/>
      <w:lvlJc w:val="left"/>
      <w:pPr>
        <w:ind w:left="3091" w:hanging="148"/>
      </w:pPr>
      <w:rPr>
        <w:rFonts w:hint="default"/>
        <w:lang w:val="en-US" w:eastAsia="en-US" w:bidi="ar-SA"/>
      </w:rPr>
    </w:lvl>
    <w:lvl w:ilvl="3" w:tplc="4F422348">
      <w:numFmt w:val="bullet"/>
      <w:lvlText w:val="•"/>
      <w:lvlJc w:val="left"/>
      <w:pPr>
        <w:ind w:left="3902" w:hanging="148"/>
      </w:pPr>
      <w:rPr>
        <w:rFonts w:hint="default"/>
        <w:lang w:val="en-US" w:eastAsia="en-US" w:bidi="ar-SA"/>
      </w:rPr>
    </w:lvl>
    <w:lvl w:ilvl="4" w:tplc="D49619EA">
      <w:numFmt w:val="bullet"/>
      <w:lvlText w:val="•"/>
      <w:lvlJc w:val="left"/>
      <w:pPr>
        <w:ind w:left="4713" w:hanging="148"/>
      </w:pPr>
      <w:rPr>
        <w:rFonts w:hint="default"/>
        <w:lang w:val="en-US" w:eastAsia="en-US" w:bidi="ar-SA"/>
      </w:rPr>
    </w:lvl>
    <w:lvl w:ilvl="5" w:tplc="8800E660">
      <w:numFmt w:val="bullet"/>
      <w:lvlText w:val="•"/>
      <w:lvlJc w:val="left"/>
      <w:pPr>
        <w:ind w:left="5524" w:hanging="148"/>
      </w:pPr>
      <w:rPr>
        <w:rFonts w:hint="default"/>
        <w:lang w:val="en-US" w:eastAsia="en-US" w:bidi="ar-SA"/>
      </w:rPr>
    </w:lvl>
    <w:lvl w:ilvl="6" w:tplc="AAF285C6">
      <w:numFmt w:val="bullet"/>
      <w:lvlText w:val="•"/>
      <w:lvlJc w:val="left"/>
      <w:pPr>
        <w:ind w:left="6335" w:hanging="148"/>
      </w:pPr>
      <w:rPr>
        <w:rFonts w:hint="default"/>
        <w:lang w:val="en-US" w:eastAsia="en-US" w:bidi="ar-SA"/>
      </w:rPr>
    </w:lvl>
    <w:lvl w:ilvl="7" w:tplc="5E7ACBD4">
      <w:numFmt w:val="bullet"/>
      <w:lvlText w:val="•"/>
      <w:lvlJc w:val="left"/>
      <w:pPr>
        <w:ind w:left="7146" w:hanging="148"/>
      </w:pPr>
      <w:rPr>
        <w:rFonts w:hint="default"/>
        <w:lang w:val="en-US" w:eastAsia="en-US" w:bidi="ar-SA"/>
      </w:rPr>
    </w:lvl>
    <w:lvl w:ilvl="8" w:tplc="0DD87874">
      <w:numFmt w:val="bullet"/>
      <w:lvlText w:val="•"/>
      <w:lvlJc w:val="left"/>
      <w:pPr>
        <w:ind w:left="7957" w:hanging="148"/>
      </w:pPr>
      <w:rPr>
        <w:rFonts w:hint="default"/>
        <w:lang w:val="en-US" w:eastAsia="en-US" w:bidi="ar-SA"/>
      </w:rPr>
    </w:lvl>
  </w:abstractNum>
  <w:abstractNum w:abstractNumId="12" w15:restartNumberingAfterBreak="0">
    <w:nsid w:val="755A4044"/>
    <w:multiLevelType w:val="hybridMultilevel"/>
    <w:tmpl w:val="A9DCD098"/>
    <w:lvl w:ilvl="0" w:tplc="D02CC108">
      <w:numFmt w:val="bullet"/>
      <w:pStyle w:val="ListParagraph"/>
      <w:lvlText w:val="-"/>
      <w:lvlJc w:val="left"/>
      <w:pPr>
        <w:ind w:left="720" w:hanging="360"/>
      </w:pPr>
      <w:rPr>
        <w:rFonts w:ascii="Georgia" w:eastAsia="Georgia" w:hAnsi="Georgia" w:cs="Georgia"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DF"/>
    <w:rsid w:val="000240B8"/>
    <w:rsid w:val="00025076"/>
    <w:rsid w:val="00031549"/>
    <w:rsid w:val="00131034"/>
    <w:rsid w:val="00655A92"/>
    <w:rsid w:val="00656F67"/>
    <w:rsid w:val="00726E08"/>
    <w:rsid w:val="00746891"/>
    <w:rsid w:val="008073DF"/>
    <w:rsid w:val="00F4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27B8"/>
  <w15:docId w15:val="{65372744-E1D9-F24B-8370-54944155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81C"/>
    <w:pPr>
      <w:widowControl/>
      <w:snapToGrid w:val="0"/>
      <w:spacing w:line="264" w:lineRule="auto"/>
    </w:pPr>
    <w:rPr>
      <w:rFonts w:ascii="Georgia" w:eastAsia="Georgia" w:hAnsi="Georgia" w:cs="Georgia"/>
      <w:kern w:val="12"/>
      <w:sz w:val="24"/>
      <w:szCs w:val="24"/>
    </w:rPr>
  </w:style>
  <w:style w:type="paragraph" w:styleId="Heading1">
    <w:name w:val="heading 1"/>
    <w:basedOn w:val="Normal"/>
    <w:next w:val="Normal"/>
    <w:link w:val="Heading1Char"/>
    <w:uiPriority w:val="9"/>
    <w:qFormat/>
    <w:rsid w:val="00F4481C"/>
    <w:pPr>
      <w:outlineLvl w:val="0"/>
    </w:pPr>
    <w:rPr>
      <w:u w:val="single"/>
    </w:rPr>
  </w:style>
  <w:style w:type="paragraph" w:styleId="Heading2">
    <w:name w:val="heading 2"/>
    <w:basedOn w:val="Normal"/>
    <w:next w:val="Normal"/>
    <w:link w:val="Heading2Char"/>
    <w:uiPriority w:val="9"/>
    <w:unhideWhenUsed/>
    <w:qFormat/>
    <w:rsid w:val="00746891"/>
    <w:pPr>
      <w:tabs>
        <w:tab w:val="left" w:pos="2160"/>
      </w:tabs>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26E08"/>
    <w:rPr>
      <w:color w:val="0070C0"/>
      <w:u w:val="single"/>
    </w:rPr>
  </w:style>
  <w:style w:type="paragraph" w:styleId="Title">
    <w:name w:val="Title"/>
    <w:basedOn w:val="Normal"/>
    <w:uiPriority w:val="10"/>
    <w:qFormat/>
    <w:rsid w:val="00726E08"/>
    <w:pPr>
      <w:spacing w:before="101"/>
      <w:jc w:val="center"/>
    </w:pPr>
    <w:rPr>
      <w:b/>
      <w:bCs/>
    </w:rPr>
  </w:style>
  <w:style w:type="paragraph" w:styleId="ListParagraph">
    <w:name w:val="List Paragraph"/>
    <w:basedOn w:val="Normal"/>
    <w:uiPriority w:val="1"/>
    <w:qFormat/>
    <w:rsid w:val="00746891"/>
    <w:pPr>
      <w:numPr>
        <w:numId w:val="13"/>
      </w:numPr>
      <w:tabs>
        <w:tab w:val="left" w:pos="2160"/>
        <w:tab w:val="left" w:pos="2430"/>
      </w:tabs>
      <w:ind w:left="2160" w:firstLine="9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55A92"/>
    <w:pPr>
      <w:tabs>
        <w:tab w:val="center" w:pos="4680"/>
        <w:tab w:val="right" w:pos="9360"/>
      </w:tabs>
    </w:pPr>
  </w:style>
  <w:style w:type="character" w:customStyle="1" w:styleId="HeaderChar">
    <w:name w:val="Header Char"/>
    <w:basedOn w:val="DefaultParagraphFont"/>
    <w:link w:val="Header"/>
    <w:uiPriority w:val="99"/>
    <w:rsid w:val="00655A92"/>
    <w:rPr>
      <w:rFonts w:ascii="Georgia" w:eastAsia="Georgia" w:hAnsi="Georgia" w:cs="Georgia"/>
    </w:rPr>
  </w:style>
  <w:style w:type="paragraph" w:styleId="Footer">
    <w:name w:val="footer"/>
    <w:basedOn w:val="Normal"/>
    <w:link w:val="FooterChar"/>
    <w:uiPriority w:val="99"/>
    <w:unhideWhenUsed/>
    <w:rsid w:val="00655A92"/>
    <w:pPr>
      <w:tabs>
        <w:tab w:val="center" w:pos="4680"/>
        <w:tab w:val="right" w:pos="9360"/>
      </w:tabs>
    </w:pPr>
  </w:style>
  <w:style w:type="character" w:customStyle="1" w:styleId="FooterChar">
    <w:name w:val="Footer Char"/>
    <w:basedOn w:val="DefaultParagraphFont"/>
    <w:link w:val="Footer"/>
    <w:uiPriority w:val="99"/>
    <w:rsid w:val="00655A92"/>
    <w:rPr>
      <w:rFonts w:ascii="Georgia" w:eastAsia="Georgia" w:hAnsi="Georgia" w:cs="Georgia"/>
    </w:rPr>
  </w:style>
  <w:style w:type="character" w:styleId="PageNumber">
    <w:name w:val="page number"/>
    <w:basedOn w:val="DefaultParagraphFont"/>
    <w:uiPriority w:val="99"/>
    <w:semiHidden/>
    <w:unhideWhenUsed/>
    <w:rsid w:val="00655A92"/>
  </w:style>
  <w:style w:type="character" w:customStyle="1" w:styleId="Heading1Char">
    <w:name w:val="Heading 1 Char"/>
    <w:basedOn w:val="DefaultParagraphFont"/>
    <w:link w:val="Heading1"/>
    <w:uiPriority w:val="9"/>
    <w:rsid w:val="00F4481C"/>
    <w:rPr>
      <w:rFonts w:ascii="Georgia" w:eastAsia="Georgia" w:hAnsi="Georgia" w:cs="Georgia"/>
      <w:kern w:val="12"/>
      <w:sz w:val="24"/>
      <w:szCs w:val="24"/>
      <w:u w:val="single"/>
    </w:rPr>
  </w:style>
  <w:style w:type="character" w:customStyle="1" w:styleId="Heading2Char">
    <w:name w:val="Heading 2 Char"/>
    <w:basedOn w:val="DefaultParagraphFont"/>
    <w:link w:val="Heading2"/>
    <w:uiPriority w:val="9"/>
    <w:rsid w:val="00746891"/>
    <w:rPr>
      <w:rFonts w:ascii="Georgia" w:eastAsia="Georgia" w:hAnsi="Georgia" w:cs="Georgia"/>
      <w:kern w:val="12"/>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henry@gradcenter.cun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Word - 1010_F17_Syllabus</vt:lpstr>
    </vt:vector>
  </TitlesOfParts>
  <Company>McSilver Institute for Poverty Policy and Research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- 1010_F17_Syllabus</dc:title>
  <dc:creator>jhenry</dc:creator>
  <cp:lastModifiedBy>Joseph Henry</cp:lastModifiedBy>
  <cp:revision>3</cp:revision>
  <dcterms:created xsi:type="dcterms:W3CDTF">2020-04-12T14:03:00Z</dcterms:created>
  <dcterms:modified xsi:type="dcterms:W3CDTF">2020-04-12T14:06:00Z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Creator">
    <vt:lpwstr>PScript5.dll Version 5.2.2</vt:lpwstr>
  </property>
  <property fmtid="{D5CDD505-2E9C-101B-9397-08002B2CF9AE}" pid="4" name="LastSaved">
    <vt:filetime>2020-04-12T00:00:00Z</vt:filetime>
  </property>
</Properties>
</file>