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Small Test T042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Ведомость объемов работ</w:t>
      </w:r>
    </w:p>
    <w:p>
      <w:pPr>
        <w:jc w:val="center"/>
      </w:pPr>
      <w:r>
        <w:rPr>
          <w:rFonts w:ascii="Times New Roman" w:hAnsi="Times New Roman"/>
          <w:sz w:val="20"/>
        </w:rPr>
        <w:t>Основание_Электроосвещение</w:t>
      </w:r>
    </w:p>
    <w:p>
      <w:r>
        <w:rPr>
          <w:rFonts w:ascii="Times New Roman" w:hAnsi="Times New Roman"/>
          <w:sz w:val="20"/>
        </w:rPr>
        <w:t>Дата составления 03.04.2026г.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вида работ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Объем работ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Формула расчета объемов работ и расхода материалов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Ссылка на чертежи, спецификации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Дополнительная информация</w:t>
            </w:r>
          </w:p>
        </w:tc>
      </w:tr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Щитовое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ЩАО-3.12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ЩР-3.12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Подключение жил кабелей до 10 мм2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Светотехническое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TH 5000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TH EM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электроустановочных изделий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однофазная открытой установки IP44 PA16-044B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Кабельный вывод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коробки соединительной с кабельными вводами 100x100x50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коробки распределительной 85x85x40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Соединение жил кабелей методом опрессовки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Луженая гильза ГМЛ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Термоусадочная трубка ТТК (4:1)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огнестойкого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Затяжка кабеля в трубы, блоки и на лотки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 линий × средняя длина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Выполнение проходки кабеля через стены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пена, DN1201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пены, DN1202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труба сталь ВГП Ду 20 (Дн 26,8x2,5) ГОСТ 3262-75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ПВХ изделий и труб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гофрированной трубы ПВХ гибкой с креплением клипсами каждые 0,8 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оцинкованный двусторонний,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оцинкованный двусторонний,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Заземление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заземления]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Молниезащита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молниезащиты]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Пусконаладочные работы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изоляции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Определение целостности жил кабеля и фазировка кабельной линии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наличия цепи между заземлителями и заземленными элементами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Лаборатория передвижная монтажно-измерительная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маш/час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ЩАО-3.12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ЩР-3.12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осветительной сети на правильность зажигания групп внутреннего освещения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