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28"/>
        </w:rPr>
        <w:t xml:space="preserve">BAB I</w:t>
      </w:r>
    </w:p>
    <w:p>
      <w:pPr>
        <w:jc w:val="center"/>
      </w:pPr>
      <w:r>
        <w:rPr>
          <w:b/>
          <w:sz w:val="26"/>
        </w:rPr>
        <w:t xml:space="preserve">KETENTUAN UMUM</w:t>
      </w:r>
    </w:p>
    <w:p/>
    <w:p>
      <w:r>
        <w:rPr>
          <w:b/>
        </w:rPr>
        <w:t xml:space="preserve">Pasal 1</w:t>
      </w:r>
    </w:p>
    <w:p>
      <w:r>
        <w:t xml:space="preserve">Dalam Perjanjian Kerja Sama Operasional Pertambangan ini yang dimaksud dengan Pihak Pertama adalah pemegang Izin Usaha Pertambangan Operasi Produksi, dan Pihak Kedua adalah kontraktor pelaksana kegiatan penambangan.</w:t>
      </w:r>
    </w:p>
    <w:p/>
    <w:p>
      <w:pPr>
        <w:jc w:val="center"/>
      </w:pPr>
      <w:r>
        <w:rPr>
          <w:b/>
          <w:sz w:val="28"/>
        </w:rPr>
        <w:t xml:space="preserve">BAB II</w:t>
      </w:r>
    </w:p>
    <w:p>
      <w:pPr>
        <w:jc w:val="center"/>
      </w:pPr>
      <w:r>
        <w:rPr>
          <w:b/>
          <w:sz w:val="26"/>
        </w:rPr>
        <w:t xml:space="preserve">RUANG LINGKUP KERJA SAMA</w:t>
      </w:r>
    </w:p>
    <w:p/>
    <w:p>
      <w:r>
        <w:rPr>
          <w:b/>
        </w:rPr>
        <w:t xml:space="preserve">Pasal 2</w:t>
      </w:r>
    </w:p>
    <w:p>
      <w:r>
        <w:t xml:space="preserve">Ruang lingkup kerja sama meliputi kegiatan pengupasan lapisan tanah penutup, penambangan, pengangkutan, dan penimbunan hasil tambang sesuai dengan RKAB yang telah disetujui oleh Pihak Pertama.</w:t>
      </w:r>
    </w:p>
    <w:p/>
    <w:p>
      <w:r>
        <w:rPr>
          <w:b/>
        </w:rPr>
        <w:t xml:space="preserve">Pasal 3</w:t>
      </w:r>
    </w:p>
    <w:p>
      <w:r>
        <w:t xml:space="preserve">(1) Pihak Kedua wajib menyediakan tenaga kerja, peralatan, dan bahan yang diperlukan untuk pelaksanaan kegiatan penambangan sesuai dengan RKAB yang telah disetujui.</w:t>
      </w:r>
    </w:p>
    <w:p>
      <w:r>
        <w:t xml:space="preserve">(2) Seluruh peralatan sebagaimana dimaksud pada ayat (1) harus memenuhi standar keselamatan dan kesehatan kerja pertambangan yang berlaku.</w:t>
      </w:r>
    </w:p>
    <w:p>
      <w:r>
        <w:t xml:space="preserve">(3) Pihak Kedua wajib melaporkan kesiapan peralatan sebagaimana dimaksud pada ayat (1) kepada Pihak Pertama paling lambat 7 (tujuh) hari sebelum mobilisasi.</w:t>
      </w:r>
    </w:p>
    <w:p/>
    <w:p>
      <w:pPr>
        <w:jc w:val="center"/>
      </w:pPr>
      <w:r>
        <w:rPr>
          <w:b/>
          <w:sz w:val="28"/>
        </w:rPr>
        <w:t xml:space="preserve">BAB III</w:t>
      </w:r>
    </w:p>
    <w:p>
      <w:pPr>
        <w:jc w:val="center"/>
      </w:pPr>
      <w:r>
        <w:rPr>
          <w:b/>
          <w:sz w:val="26"/>
        </w:rPr>
        <w:t xml:space="preserve">JANGKA WAKTU DAN PEMBAYARAN</w:t>
      </w:r>
    </w:p>
    <w:p/>
    <w:p>
      <w:r>
        <w:rPr>
          <w:b/>
        </w:rPr>
        <w:t xml:space="preserve">Pasal 4</w:t>
      </w:r>
    </w:p>
    <w:p>
      <w:r>
        <w:t xml:space="preserve">(1) Evaluasi kinerja Pihak Kedua dilakukan oleh Pihak Pertama setiap 6 (enam) bulan sekali sejak tanggal dimulainya pekerjaan sebagaimana tercantum dalam berita acara mobilisasi.</w:t>
      </w:r>
    </w:p>
    <w:p>
      <w:r>
        <w:t xml:space="preserve">(2) Hasil evaluasi sebagaimana dimaksud pada ayat (1) menjadi dasar bagi Pihak Pertama untuk memberikan teguran, perbaikan kinerja, atau pengakhiran perjanjian.</w:t>
      </w:r>
    </w:p>
    <w:p/>
    <w:p>
      <w:r>
        <w:rPr>
          <w:b/>
        </w:rPr>
        <w:t xml:space="preserve">Pasal 5</w:t>
      </w:r>
    </w:p>
    <w:p>
      <w:r>
        <w:t xml:space="preserve">Pembayaran imbalan jasa dilakukan setiap bulan berdasarkan volume produksi yang diverifikasi bersama oleh perwakilan kedua belah pihak di lokasi tambang.</w:t>
      </w:r>
    </w:p>
    <w:p/>
    <w:p>
      <w:pPr>
        <w:jc w:val="center"/>
      </w:pPr>
      <w:r>
        <w:rPr>
          <w:b/>
          <w:sz w:val="28"/>
        </w:rPr>
        <w:t xml:space="preserve">BAB IV</w:t>
      </w:r>
    </w:p>
    <w:p>
      <w:pPr>
        <w:jc w:val="center"/>
      </w:pPr>
      <w:r>
        <w:rPr>
          <w:b/>
          <w:sz w:val="26"/>
        </w:rPr>
        <w:t xml:space="preserve">KETENTUAN LAPORAN DAN PEMERIKSAAN</w:t>
      </w:r>
    </w:p>
    <w:p/>
    <w:p>
      <w:r>
        <w:rPr>
          <w:b/>
        </w:rPr>
        <w:t xml:space="preserve">Pasal 6</w:t>
      </w:r>
    </w:p>
    <w:p>
      <w:r>
        <w:t xml:space="preserve">Pemeriksaan lapangan berkala dilakukan oleh tim audit independen yang ditunjuk bersama oleh kedua belah pihak sekurang-kurangnya 1 (satu) kali dalam 3 (tiga) bulan, dengan hasil pemeriksaan dituangkan dalam laporan tertulis yang ditandatangani oleh kedua perwakilan.</w:t>
      </w:r>
    </w:p>
    <w:p/>
    <w:p>
      <w:r>
        <w:rPr>
          <w:b/>
        </w:rPr>
        <w:t xml:space="preserve">Pasal 7</w:t>
      </w:r>
    </w:p>
    <w:p>
      <w:r>
        <w:t xml:space="preserve">Pemeriksaan sebagaimana diatur dalam Pasal 6 dilaksanakan oleh tim independen dan hasilnya menjadi bagian dari dokumen evaluasi kinerja tahunan Pihak Kedua.</w:t>
      </w:r>
    </w:p>
    <w:p/>
    <w:p>
      <w:pPr>
        <w:jc w:val="center"/>
      </w:pPr>
      <w:r>
        <w:rPr>
          <w:b/>
          <w:sz w:val="28"/>
        </w:rPr>
        <w:t xml:space="preserve">BAB V</w:t>
      </w:r>
    </w:p>
    <w:p>
      <w:pPr>
        <w:jc w:val="center"/>
      </w:pPr>
      <w:r>
        <w:rPr>
          <w:b/>
          <w:sz w:val="26"/>
        </w:rPr>
        <w:t xml:space="preserve">KEADAAN MEMAKSA</w:t>
      </w:r>
    </w:p>
    <w:p/>
    <w:p>
      <w:r>
        <w:rPr>
          <w:b/>
        </w:rPr>
        <w:t xml:space="preserve">Pasal 8</w:t>
      </w:r>
    </w:p>
    <w:p>
      <w:r>
        <w:t xml:space="preserve">Force majeure adalah peristiwa di luar kemampuan wajar para pihak, termasuk bencana alam, kerusuhan, dan perubahan kebijakan pemerintah yang berdampak langsung pada pelaksanaan pekerjaan.</w:t>
      </w:r>
    </w:p>
    <w:p/>
    <w:p>
      <w:pPr>
        <w:jc w:val="center"/>
      </w:pPr>
      <w:r>
        <w:rPr>
          <w:b/>
          <w:sz w:val="28"/>
        </w:rPr>
        <w:t xml:space="preserve">BAB VI</w:t>
      </w:r>
    </w:p>
    <w:p>
      <w:pPr>
        <w:jc w:val="center"/>
      </w:pPr>
      <w:r>
        <w:rPr>
          <w:b/>
          <w:sz w:val="26"/>
        </w:rPr>
        <w:t xml:space="preserve">PENYELESAIAN PERSELISIHAN</w:t>
      </w:r>
    </w:p>
    <w:p/>
    <w:p>
      <w:r>
        <w:rPr>
          <w:b/>
        </w:rPr>
        <w:t xml:space="preserve">Pasal 9</w:t>
      </w:r>
    </w:p>
    <w:p>
      <w:r>
        <w:t xml:space="preserve">Setiap perselisihan yang timbul dari pelaksanaan perjanjian ini akan diselesaikan terlebih dahulu secara musyawarah untuk mufakat oleh kedua belah pihak.</w:t>
      </w:r>
    </w:p>
    <w:p>
      <w:pPr>
        <w:jc w:val="center"/>
      </w:pPr>
      <w:r>
        <w:rPr>
          <w:b/>
          <w:sz w:val="28"/>
        </w:rPr>
        <w:t xml:space="preserve">BAB VII</w:t>
      </w:r>
    </w:p>
    <w:p>
      <w:pPr>
        <w:jc w:val="center"/>
      </w:pPr>
      <w:r>
        <w:rPr>
          <w:b/>
          <w:sz w:val="26"/>
        </w:rPr>
        <w:t xml:space="preserve">KETENTUAN LAIN-LAIN DAN PENUTUP</w:t>
      </w:r>
    </w:p>
    <w:p/>
    <w:p>
      <w:r>
        <w:rPr>
          <w:b/>
        </w:rPr>
        <w:t xml:space="preserve">Pasal 10</w:t>
      </w:r>
    </w:p>
    <w:p>
      <w:r>
        <w:t xml:space="preserve">Pihak Kedua wajib menutup asuransi tanggung jawab hukum pihak ketiga dan asuransi kecelakaan kerja bagi seluruh tenaga kerja yang ditugaskan pada kegiatan penambangan sebagaimana diatur dalam perjanjian ini, dengan nilai pertanggungan paling rendah sesuai dengan ketentuan peraturan perundang-undangan yang berlaku di bidang ketenagakerjaan dan pertambangan.</w:t>
      </w:r>
    </w:p>
    <w:p/>
    <w:p>
      <w:r>
        <w:rPr>
          <w:b/>
        </w:rPr>
        <w:t xml:space="preserve">Pasal 11</w:t>
      </w:r>
    </w:p>
    <w:p>
      <w:r>
        <w:t xml:space="preserve">(1) Pihak Kedua bertanggung jawab penuh atas segala kerugian yang timbul akibat kelalaian dalam pelaksanaan pekerjaan, termasuk namun tidak terbatas pada kerusakan peralatan, pencemaran lingkungan, dan cedera pada tenaga kerja.</w:t>
      </w:r>
    </w:p>
    <w:p>
      <w:r>
        <w:t xml:space="preserve">(2) Tanggung jawab sebagaimana dimaksud pada ayat (1) tidak berlaku apabila kerugian timbul akibat instruksi tertulis dari Pihak Pertama yang terbukti keliru di kemudian hari.</w:t>
      </w:r>
    </w:p>
    <w:p/>
    <w:p>
      <w:r>
        <w:rPr>
          <w:b/>
        </w:rPr>
        <w:t xml:space="preserve">Pasal 12</w:t>
      </w:r>
    </w:p>
    <w:p>
      <w:r>
        <w:t xml:space="preserve">Masing-masing pihak wajib menjaga kerahasiaan seluruh informasi, data teknis, dan dokumen yang diperoleh sehubungan dengan pelaksanaan perjanjian ini, dan tidak boleh mengungkapkannya kepada pihak ketiga tanpa persetujuan tertulis dari pihak lainnya, kecuali diwajibkan oleh peraturan perundang-undangan atau perintah pengadilan yang berwenang.</w:t>
      </w:r>
    </w:p>
    <w:p/>
    <w:p>
      <w:r>
        <w:rPr>
          <w:b/>
        </w:rPr>
        <w:t xml:space="preserve">Pasal 13</w:t>
      </w:r>
    </w:p>
    <w:p>
      <w:r>
        <w:t xml:space="preserve">(1) Hak dan kewajiban yang timbul dari perjanjian ini tidak dapat dialihkan kepada pihak lain tanpa persetujuan tertulis terlebih dahulu dari pihak lainnya.</w:t>
      </w:r>
    </w:p>
    <w:p>
      <w:r>
        <w:t xml:space="preserve">(2) Setiap pengalihan yang dilakukan tanpa persetujuan sebagaimana dimaksud pada ayat (1) dinyatakan batal demi hukum dan tidak mengikat pihak yang dirugikan.</w:t>
      </w:r>
    </w:p>
    <w:p/>
    <w:p>
      <w:r>
        <w:rPr>
          <w:b/>
        </w:rPr>
        <w:t xml:space="preserve">Pasal 14</w:t>
      </w:r>
    </w:p>
    <w:p>
      <w:r>
        <w:t xml:space="preserve">Segala pemberitahuan yang berkaitan dengan pelaksanaan perjanjian ini wajib disampaikan secara tertulis ke alamat yang tercantum dalam bagian pembuka perjanjian, dan dianggap telah diterima pada saat diserahkan langsung atau tiga hari kerja setelah dikirimkan melalui pos tercatat dengan bukti penerimaan.</w:t>
      </w:r>
    </w:p>
    <w:p/>
    <w:p>
      <w:r>
        <w:rPr>
          <w:b/>
        </w:rPr>
        <w:t xml:space="preserve">Pasal 15</w:t>
      </w:r>
    </w:p>
    <w:p>
      <w:r>
        <w:t xml:space="preserve">Perjanjian ini tunduk pada dan ditafsirkan berdasarkan hukum Negara Republik Indonesia, dan setiap perselisihan yang tidak dapat diselesaikan secara musyawarah akan diselesaikan melalui Badan Arbitrase Nasional Indonesia sesuai dengan peraturan dan prosedur yang berlaku pada saat pengajuan permohonan arbitrase.</w:t>
      </w:r>
    </w:p>
    <w:p/>
    <w:p>
      <w:r>
        <w:rPr>
          <w:b/>
        </w:rPr>
        <w:t xml:space="preserve">Pasal 16</w:t>
      </w:r>
    </w:p>
    <w:p>
      <w:r>
        <w:t xml:space="preserve">(1) Setiap perubahan atau penambahan atas ketentuan dalam perjanjian ini hanya sah apabila dibuat secara tertulis dan ditandatangani oleh kedua belah pihak dalam bentuk adendum.</w:t>
      </w:r>
    </w:p>
    <w:p>
      <w:r>
        <w:t xml:space="preserve">(2) Adendum sebagaimana dimaksud pada ayat (1) merupakan satu kesatuan yang tidak terpisahkan dari perjanjian ini dan berlaku sejak tanggal ditandatangani oleh para pihak.</w:t>
      </w:r>
    </w:p>
    <w:p/>
    <w:p>
      <w:r>
        <w:rPr>
          <w:b/>
        </w:rPr>
        <w:t xml:space="preserve">Pasal 17</w:t>
      </w:r>
    </w:p>
    <w:p>
      <w:r>
        <w:t xml:space="preserve">Apabila salah satu ketentuan dalam perjanjian ini dinyatakan batal atau tidak dapat dilaksanakan oleh pejabat yang berwenang, maka ketentuan lainnya tetap berlaku penuh dan mengikat para pihak sebagaimana mestinya.</w:t>
      </w:r>
    </w:p>
    <w:p/>
    <w:p>
      <w:r>
        <w:rPr>
          <w:b/>
        </w:rPr>
        <w:t xml:space="preserve">Pasal 18</w:t>
      </w:r>
    </w:p>
    <w:p>
      <w:r>
        <w:t xml:space="preserve">Perjanjian ini dibuat dalam Bahasa Indonesia. Apabila di kemudian hari dibuat pula terjemahan dalam bahasa lain untuk kemudahan referensi, maka versi Bahasa Indonesia yang berlaku dalam hal terjadi perbedaan penafsiran antara kedua versi.</w:t>
      </w:r>
    </w:p>
    <w:p/>
    <w:p>
      <w:r>
        <w:rPr>
          <w:b/>
        </w:rPr>
        <w:t xml:space="preserve">Pasal 19</w:t>
      </w:r>
    </w:p>
    <w:p>
      <w:r>
        <w:t xml:space="preserve">Perjanjian ini ditandatangani dalam rangkap 2 (dua) asli, masing-masing bermeterai cukup dan mempunyai kekuatan hukum yang sama, untuk dipegang oleh masing-masing pihak sebagai pegangan.</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diff-checker fixture generator</Application>
</Properties>
</file>

<file path=docProps/core.xml><?xml version="1.0" encoding="utf-8"?>
<cp:coreProperties xmlns:cp="http://schemas.openxmlformats.org/package/2006/metadata/core-properties" xmlns:dc="http://purl.org/dc/elements/1.1/">
  <dc:title>diff-checker fixture</dc:title>
  <dc:creator>diff-checker</dc:creator>
</cp:coreProperties>
</file>