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Nova aplikacija Naplata</w:t>
      </w:r>
    </w:p>
    <w:p>
      <w:pPr>
        <w:pStyle w:val="Subtitle"/>
      </w:pPr>
      <w:r>
        <w:rPr>
          <w:b w:val="0"/>
        </w:rPr>
        <w:t>Plan razvoja i struktura podataka</w:t>
      </w:r>
    </w:p>
    <w:p>
      <w:r>
        <w:rPr>
          <w:b w:val="0"/>
        </w:rPr>
        <w:t>18.09.2026.  |  Prva faza formiranja tabela</w:t>
      </w:r>
    </w:p>
    <w:p>
      <w:r>
        <w:rPr>
          <w:b w:val="0"/>
        </w:rPr>
        <w:t>Nova Naplata zasnivaće se na lokalnim Django tabelama, kontrolisanoj sinhronizaciji i povezanom vođenju partnera, dokumenata i aktivnosti naplate. Dokument daje pregled postojećih izvora, predlog obračuna i postupak prelaska uz očuvanje istorije.</w:t>
      </w:r>
    </w:p>
    <w:p>
      <w:r>
        <w:rPr>
          <w:b/>
        </w:rPr>
        <w:t>Formirano je 19 tabela u modulu potrazivanja</w:t>
      </w:r>
      <w:r>
        <w:rPr>
          <w:b w:val="0"/>
        </w:rPr>
        <w:t>, sa početnim šifarnikom sedam starosnih razreda. Slede probni prenos podataka, sinhronizacija i novi korisnički prikaz. Postojeća Naplata nastavlja da se koristi tokom tih faza.</w:t>
      </w:r>
    </w:p>
    <w:p>
      <w:pPr>
        <w:pStyle w:val="Heading1"/>
      </w:pPr>
      <w:r>
        <w:rPr>
          <w:b w:val="0"/>
        </w:rPr>
        <w:t>1  Odluka i granice prve isporuke</w:t>
      </w:r>
    </w:p>
    <w:p>
      <w:r>
        <w:rPr>
          <w:b w:val="0"/>
        </w:rPr>
        <w:t xml:space="preserve">Napraviti novu implementaciju Naplate sa Django-managed tabelama, lokalnim obračunima i sinhronizacijom. Razvijati je paralelno sa postojećom Naplatom, u zasebnom modulu </w:t>
      </w:r>
      <w:r>
        <w:rPr>
          <w:b w:val="0"/>
          <w:sz w:val="20"/>
        </w:rPr>
        <w:t>potrazivanja</w:t>
      </w:r>
      <w:r>
        <w:rPr>
          <w:b w:val="0"/>
        </w:rPr>
        <w:t xml:space="preserve"> i privremenoj ruti </w:t>
      </w:r>
      <w:r>
        <w:rPr>
          <w:b w:val="0"/>
          <w:sz w:val="20"/>
        </w:rPr>
        <w:t>/potrazivanja/</w:t>
      </w:r>
      <w:r>
        <w:rPr>
          <w:b w:val="0"/>
        </w:rPr>
        <w:t xml:space="preserve">, uz korisnički naziv „Naplata — novi pregled“. Modul </w:t>
      </w:r>
      <w:r>
        <w:rPr>
          <w:b w:val="0"/>
          <w:sz w:val="20"/>
        </w:rPr>
        <w:t>potrazivanja</w:t>
      </w:r>
      <w:r>
        <w:rPr>
          <w:b w:val="0"/>
        </w:rPr>
        <w:t xml:space="preserve"> sada postoji; privremena ruta i novi UI još nisu uvedeni. Tek nakon usaglašavanja rezultata preusmeriti postojeće ulaze. Ne menjati </w:t>
      </w:r>
      <w:r>
        <w:rPr>
          <w:b w:val="0"/>
          <w:sz w:val="20"/>
        </w:rPr>
        <w:t>managed=False</w:t>
      </w:r>
      <w:r>
        <w:rPr>
          <w:b w:val="0"/>
        </w:rPr>
        <w:t xml:space="preserve"> u </w:t>
      </w:r>
      <w:r>
        <w:rPr>
          <w:b w:val="0"/>
          <w:sz w:val="20"/>
        </w:rPr>
        <w:t>True</w:t>
      </w:r>
      <w:r>
        <w:rPr>
          <w:b w:val="0"/>
        </w:rPr>
        <w:t xml:space="preserve"> na starim modelima kao zamenu za migraciju.</w:t>
      </w:r>
    </w:p>
    <w:p>
      <w:r>
        <w:rPr>
          <w:b w:val="0"/>
        </w:rPr>
        <w:t xml:space="preserve">Nove tabele kreirati Django migracijama na </w:t>
      </w:r>
      <w:r>
        <w:rPr>
          <w:b w:val="0"/>
          <w:sz w:val="20"/>
        </w:rPr>
        <w:t>default</w:t>
      </w:r>
      <w:r>
        <w:rPr>
          <w:b w:val="0"/>
        </w:rPr>
        <w:t xml:space="preserve">; u pregledanom okruženju </w:t>
      </w:r>
      <w:r>
        <w:rPr>
          <w:b w:val="0"/>
          <w:sz w:val="20"/>
        </w:rPr>
        <w:t>default</w:t>
      </w:r>
      <w:r>
        <w:rPr>
          <w:b w:val="0"/>
        </w:rPr>
        <w:t xml:space="preserve"> i </w:t>
      </w:r>
      <w:r>
        <w:rPr>
          <w:b w:val="0"/>
          <w:sz w:val="20"/>
        </w:rPr>
        <w:t>server_db</w:t>
      </w:r>
      <w:r>
        <w:rPr>
          <w:b w:val="0"/>
        </w:rPr>
        <w:t xml:space="preserve"> pokazuju na isti server i bazu. Postojeći SQL objekti ostaju izvori i osnova za poređenje. Odvojiti migracije strukture od ponovljivih komandi za prenos podataka.</w:t>
      </w:r>
    </w:p>
    <w:p>
      <w:r>
        <w:rPr>
          <w:b w:val="0"/>
        </w:rPr>
        <w:t>Planirana funkcionalna celina pokriva dugovanja, starosne razrede, partnere, šifre posla i centre, kontakte, napomene, pozive, pisma, opomene, evidenciju tužbi, spisak za proveru i neodobrene IF. Pravna služba već ima Django modele: povezati i uskladiti njen UI, uz očuvanje postojećih postupaka i istorije, umesto ponovnog unosa istih predmeta.</w:t>
      </w:r>
    </w:p>
    <w:p>
      <w:pPr>
        <w:keepNext/>
      </w:pPr>
      <w:r>
        <w:rPr>
          <w:b w:val="0"/>
        </w:rPr>
        <w:t>Potvrđeno sa korisnikom tokom pregleda:</w:t>
      </w:r>
    </w:p>
    <w:p>
      <w:pPr>
        <w:pStyle w:val="ListBullet"/>
      </w:pPr>
      <w:r>
        <w:rPr>
          <w:b/>
        </w:rPr>
        <w:t>Ispravke posle 30. aprila namerno koriste prethodnu godinu.</w:t>
      </w:r>
      <w:r>
        <w:rPr>
          <w:b w:val="0"/>
        </w:rPr>
        <w:t xml:space="preserve"> To nije greška koju treba „popraviti“ na tekuću godinu.</w:t>
      </w:r>
    </w:p>
    <w:p>
      <w:pPr>
        <w:pStyle w:val="ListBullet"/>
      </w:pPr>
      <w:r>
        <w:rPr>
          <w:b/>
        </w:rPr>
        <w:t>„Veliki“ označava velikog/važnog kupca</w:t>
      </w:r>
      <w:r>
        <w:rPr>
          <w:b w:val="0"/>
        </w:rPr>
        <w:t>, a ne važnost pojedinačne napomene. U novoj strukturi to je osobina profila kupca.</w:t>
      </w:r>
    </w:p>
    <w:p>
      <w:pPr>
        <w:pStyle w:val="Heading1"/>
      </w:pPr>
      <w:r>
        <w:rPr>
          <w:b w:val="0"/>
        </w:rPr>
        <w:t>2  Šta aplikacija sada koristi</w:t>
      </w:r>
    </w:p>
    <w:p>
      <w:r>
        <w:rPr>
          <w:b w:val="0"/>
        </w:rPr>
        <w:t xml:space="preserve">Pregledani su modeli, URL-ovi, upiti, obrasci, import opomena, pravna služba, šabloni, prava pristupa, veze drugih modula i definicije svih osam finansijskih view-ova u živoj bazi. Ranija SQL skripta </w:t>
      </w:r>
      <w:r>
        <w:rPr>
          <w:b w:val="0"/>
          <w:sz w:val="20"/>
        </w:rPr>
        <w:t>sql/naplata_views_ims_erp.sql</w:t>
      </w:r>
      <w:r>
        <w:rPr>
          <w:b w:val="0"/>
        </w:rPr>
        <w:t xml:space="preserve"> nije potpuno jednaka stvarnim definicijama; za realizaciju koristiti snimljene definicije iz baze i potvrđena pravila.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535"/>
        <w:gridCol w:w="3736"/>
      </w:tblGrid>
      <w:tr>
        <w:trPr>
          <w:cantSplit/>
          <w:tblHeader/>
        </w:trPr>
        <w:tc>
          <w:tcPr>
            <w:tcW w:type="dxa" w:w="1701"/>
            <w:vAlign w:val="center"/>
            <w:shd w:fill="17384F"/>
            <w:tcMar>
              <w:top w:w="90" w:type="dxa"/>
              <w:bottom w:w="90" w:type="dxa"/>
              <w:left w:w="115" w:type="dxa"/>
              <w:right w:w="115" w:type="dxa"/>
            </w:tcMar>
          </w:tcPr>
          <w:p>
            <w:pPr>
              <w:spacing w:after="0" w:line="250" w:lineRule="auto"/>
            </w:pPr>
            <w:r>
              <w:rPr>
                <w:b/>
                <w:color w:val="FFFFFF"/>
                <w:sz w:val="19"/>
              </w:rPr>
              <w:t>View</w:t>
            </w:r>
          </w:p>
        </w:tc>
        <w:tc>
          <w:tcPr>
            <w:tcW w:type="dxa" w:w="4535"/>
            <w:vAlign w:val="center"/>
            <w:shd w:fill="17384F"/>
            <w:tcMar>
              <w:top w:w="90" w:type="dxa"/>
              <w:bottom w:w="90" w:type="dxa"/>
              <w:left w:w="115" w:type="dxa"/>
              <w:right w:w="115" w:type="dxa"/>
            </w:tcMar>
          </w:tcPr>
          <w:p>
            <w:pPr>
              <w:spacing w:after="0" w:line="250" w:lineRule="auto"/>
            </w:pPr>
            <w:r>
              <w:rPr>
                <w:b/>
                <w:color w:val="FFFFFF"/>
                <w:sz w:val="19"/>
              </w:rPr>
              <w:t>Stvarna uloga i zavisnosti</w:t>
            </w:r>
          </w:p>
        </w:tc>
        <w:tc>
          <w:tcPr>
            <w:tcW w:type="dxa" w:w="3736"/>
            <w:vAlign w:val="center"/>
            <w:shd w:fill="17384F"/>
            <w:tcMar>
              <w:top w:w="90" w:type="dxa"/>
              <w:bottom w:w="90" w:type="dxa"/>
              <w:left w:w="115" w:type="dxa"/>
              <w:right w:w="115" w:type="dxa"/>
            </w:tcMar>
          </w:tcPr>
          <w:p>
            <w:pPr>
              <w:spacing w:after="0" w:line="250" w:lineRule="auto"/>
            </w:pPr>
            <w:r>
              <w:rPr>
                <w:b/>
                <w:color w:val="FFFFFF"/>
                <w:sz w:val="19"/>
              </w:rPr>
              <w:t>Buduća zamena</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partneri</w:t>
            </w:r>
          </w:p>
        </w:tc>
        <w:tc>
          <w:tcPr>
            <w:tcW w:type="dxa" w:w="4535"/>
            <w:vAlign w:val="center"/>
            <w:shd w:fill="F1F5F7"/>
            <w:tcMar>
              <w:top w:w="90" w:type="dxa"/>
              <w:bottom w:w="90" w:type="dxa"/>
              <w:left w:w="115" w:type="dxa"/>
              <w:right w:w="115" w:type="dxa"/>
            </w:tcMar>
          </w:tcPr>
          <w:p>
            <w:pPr>
              <w:spacing w:after="0" w:line="250" w:lineRule="auto"/>
            </w:pPr>
            <w:r>
              <w:rPr>
                <w:b w:val="0"/>
                <w:sz w:val="19"/>
              </w:rPr>
              <w:t>Udaljeni BazaIMS.partner + Gruppartner; sve grupe, ne samo grupa 1</w:t>
            </w:r>
          </w:p>
        </w:tc>
        <w:tc>
          <w:tcPr>
            <w:tcW w:type="dxa" w:w="3736"/>
            <w:vAlign w:val="center"/>
            <w:shd w:fill="F1F5F7"/>
            <w:tcMar>
              <w:top w:w="90" w:type="dxa"/>
              <w:bottom w:w="90" w:type="dxa"/>
              <w:left w:w="115" w:type="dxa"/>
              <w:right w:w="115" w:type="dxa"/>
            </w:tcMar>
          </w:tcPr>
          <w:p>
            <w:pPr>
              <w:spacing w:after="0" w:line="250" w:lineRule="auto"/>
            </w:pPr>
            <w:r>
              <w:rPr>
                <w:b w:val="0"/>
                <w:sz w:val="19"/>
              </w:rPr>
              <w:t>Sinhronizovan finansijski identitet partnera i veza ka postojećem registru</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baza</w:t>
            </w:r>
          </w:p>
        </w:tc>
        <w:tc>
          <w:tcPr>
            <w:tcW w:type="dxa" w:w="4535"/>
            <w:vAlign w:val="center"/>
            <w:shd w:fill="FFFFFF"/>
            <w:tcMar>
              <w:top w:w="90" w:type="dxa"/>
              <w:bottom w:w="90" w:type="dxa"/>
              <w:left w:w="115" w:type="dxa"/>
              <w:right w:w="115" w:type="dxa"/>
            </w:tcMar>
          </w:tcPr>
          <w:p>
            <w:pPr>
              <w:spacing w:after="0" w:line="250" w:lineRule="auto"/>
            </w:pPr>
            <w:r>
              <w:rPr>
                <w:b w:val="0"/>
                <w:sz w:val="19"/>
              </w:rPr>
              <w:t>Udaljeni nalog_z, partneri; firma 1, grupa 1, konta 20400%/20500%; godišnji izbor i POC</w:t>
            </w:r>
          </w:p>
        </w:tc>
        <w:tc>
          <w:tcPr>
            <w:tcW w:type="dxa" w:w="3736"/>
            <w:vAlign w:val="center"/>
            <w:shd w:fill="FFFFFF"/>
            <w:tcMar>
              <w:top w:w="90" w:type="dxa"/>
              <w:bottom w:w="90" w:type="dxa"/>
              <w:left w:w="115" w:type="dxa"/>
              <w:right w:w="115" w:type="dxa"/>
            </w:tcMar>
          </w:tcPr>
          <w:p>
            <w:pPr>
              <w:spacing w:after="0" w:line="250" w:lineRule="auto"/>
            </w:pPr>
            <w:r>
              <w:rPr>
                <w:b w:val="0"/>
                <w:sz w:val="19"/>
              </w:rPr>
              <w:t>Lokalna knjiženja i servis obuhvata</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v_if</w:t>
            </w:r>
          </w:p>
        </w:tc>
        <w:tc>
          <w:tcPr>
            <w:tcW w:type="dxa" w:w="4535"/>
            <w:vAlign w:val="center"/>
            <w:shd w:fill="F1F5F7"/>
            <w:tcMar>
              <w:top w:w="90" w:type="dxa"/>
              <w:bottom w:w="90" w:type="dxa"/>
              <w:left w:w="115" w:type="dxa"/>
              <w:right w:w="115" w:type="dxa"/>
            </w:tcMar>
          </w:tcPr>
          <w:p>
            <w:pPr>
              <w:spacing w:after="0" w:line="250" w:lineRule="auto"/>
            </w:pPr>
            <w:r>
              <w:rPr>
                <w:b w:val="0"/>
                <w:sz w:val="19"/>
              </w:rPr>
              <w:t>IF od 2025. iz udaljenog nalog_z + UNION ALL tabela_if; izvor dospeća</w:t>
            </w:r>
          </w:p>
        </w:tc>
        <w:tc>
          <w:tcPr>
            <w:tcW w:type="dxa" w:w="3736"/>
            <w:vAlign w:val="center"/>
            <w:shd w:fill="F1F5F7"/>
            <w:tcMar>
              <w:top w:w="90" w:type="dxa"/>
              <w:bottom w:w="90" w:type="dxa"/>
              <w:left w:w="115" w:type="dxa"/>
              <w:right w:w="115" w:type="dxa"/>
            </w:tcMar>
          </w:tcPr>
          <w:p>
            <w:pPr>
              <w:spacing w:after="0" w:line="250" w:lineRule="auto"/>
            </w:pPr>
            <w:r>
              <w:rPr>
                <w:b w:val="0"/>
                <w:sz w:val="19"/>
              </w:rPr>
              <w:t>Evidencija izvornih dokumenata i istorijskih dospeća</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v_duplikati</w:t>
            </w:r>
          </w:p>
        </w:tc>
        <w:tc>
          <w:tcPr>
            <w:tcW w:type="dxa" w:w="4535"/>
            <w:vAlign w:val="center"/>
            <w:shd w:fill="FFFFFF"/>
            <w:tcMar>
              <w:top w:w="90" w:type="dxa"/>
              <w:bottom w:w="90" w:type="dxa"/>
              <w:left w:w="115" w:type="dxa"/>
              <w:right w:w="115" w:type="dxa"/>
            </w:tcMar>
          </w:tcPr>
          <w:p>
            <w:pPr>
              <w:spacing w:after="0" w:line="250" w:lineRule="auto"/>
            </w:pPr>
            <w:r>
              <w:rPr>
                <w:b w:val="0"/>
                <w:sz w:val="19"/>
              </w:rPr>
              <w:t>IF iz svih godina + duplikati18; partner/veza u više godina i MAX dospeća</w:t>
            </w:r>
          </w:p>
        </w:tc>
        <w:tc>
          <w:tcPr>
            <w:tcW w:type="dxa" w:w="3736"/>
            <w:vAlign w:val="center"/>
            <w:shd w:fill="FFFFFF"/>
            <w:tcMar>
              <w:top w:w="90" w:type="dxa"/>
              <w:bottom w:w="90" w:type="dxa"/>
              <w:left w:w="115" w:type="dxa"/>
              <w:right w:w="115" w:type="dxa"/>
            </w:tcMar>
          </w:tcPr>
          <w:p>
            <w:pPr>
              <w:spacing w:after="0" w:line="250" w:lineRule="auto"/>
            </w:pPr>
            <w:r>
              <w:rPr>
                <w:b w:val="0"/>
                <w:sz w:val="19"/>
              </w:rPr>
              <w:t>Resolver dospeća sa dokazom porekla</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dodela_baketa</w:t>
            </w:r>
          </w:p>
        </w:tc>
        <w:tc>
          <w:tcPr>
            <w:tcW w:type="dxa" w:w="4535"/>
            <w:vAlign w:val="center"/>
            <w:shd w:fill="F1F5F7"/>
            <w:tcMar>
              <w:top w:w="90" w:type="dxa"/>
              <w:bottom w:w="90" w:type="dxa"/>
              <w:left w:w="115" w:type="dxa"/>
              <w:right w:w="115" w:type="dxa"/>
            </w:tcMar>
          </w:tcPr>
          <w:p>
            <w:pPr>
              <w:spacing w:after="0" w:line="250" w:lineRule="auto"/>
            </w:pPr>
            <w:r>
              <w:rPr>
                <w:b w:val="0"/>
                <w:sz w:val="19"/>
              </w:rPr>
              <w:t>baza + prethodna dva view-a; saldo, dospeće, starost i domaće/ino</w:t>
            </w:r>
          </w:p>
        </w:tc>
        <w:tc>
          <w:tcPr>
            <w:tcW w:type="dxa" w:w="3736"/>
            <w:vAlign w:val="center"/>
            <w:shd w:fill="F1F5F7"/>
            <w:tcMar>
              <w:top w:w="90" w:type="dxa"/>
              <w:bottom w:w="90" w:type="dxa"/>
              <w:left w:w="115" w:type="dxa"/>
              <w:right w:w="115" w:type="dxa"/>
            </w:tcMar>
          </w:tcPr>
          <w:p>
            <w:pPr>
              <w:spacing w:after="0" w:line="250" w:lineRule="auto"/>
            </w:pPr>
            <w:r>
              <w:rPr>
                <w:b w:val="0"/>
                <w:sz w:val="19"/>
              </w:rPr>
              <w:t>Lokalna projekcija otvorenih stavki i starosni razredi</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ispravke</w:t>
            </w:r>
          </w:p>
        </w:tc>
        <w:tc>
          <w:tcPr>
            <w:tcW w:type="dxa" w:w="4535"/>
            <w:vAlign w:val="center"/>
            <w:shd w:fill="FFFFFF"/>
            <w:tcMar>
              <w:top w:w="90" w:type="dxa"/>
              <w:bottom w:w="90" w:type="dxa"/>
              <w:left w:w="115" w:type="dxa"/>
              <w:right w:w="115" w:type="dxa"/>
            </w:tcMar>
          </w:tcPr>
          <w:p>
            <w:pPr>
              <w:spacing w:after="0" w:line="250" w:lineRule="auto"/>
            </w:pPr>
            <w:r>
              <w:rPr>
                <w:b w:val="0"/>
                <w:sz w:val="19"/>
              </w:rPr>
              <w:t>Udaljeni nalog_z + konto + partneri; konta 2049%, 2059%, 2048%, 2058%</w:t>
            </w:r>
          </w:p>
        </w:tc>
        <w:tc>
          <w:tcPr>
            <w:tcW w:type="dxa" w:w="3736"/>
            <w:vAlign w:val="center"/>
            <w:shd w:fill="FFFFFF"/>
            <w:tcMar>
              <w:top w:w="90" w:type="dxa"/>
              <w:bottom w:w="90" w:type="dxa"/>
              <w:left w:w="115" w:type="dxa"/>
              <w:right w:w="115" w:type="dxa"/>
            </w:tcMar>
          </w:tcPr>
          <w:p>
            <w:pPr>
              <w:spacing w:after="0" w:line="250" w:lineRule="auto"/>
            </w:pPr>
            <w:r>
              <w:rPr>
                <w:b w:val="0"/>
                <w:sz w:val="19"/>
              </w:rPr>
              <w:t>Lokalna knjiženja, sa posebnim pravilom prethodne godine</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v_tuzeni</w:t>
            </w:r>
          </w:p>
        </w:tc>
        <w:tc>
          <w:tcPr>
            <w:tcW w:type="dxa" w:w="4535"/>
            <w:vAlign w:val="center"/>
            <w:shd w:fill="F1F5F7"/>
            <w:tcMar>
              <w:top w:w="90" w:type="dxa"/>
              <w:bottom w:w="90" w:type="dxa"/>
              <w:left w:w="115" w:type="dxa"/>
              <w:right w:w="115" w:type="dxa"/>
            </w:tcMar>
          </w:tcPr>
          <w:p>
            <w:pPr>
              <w:spacing w:after="0" w:line="250" w:lineRule="auto"/>
            </w:pPr>
            <w:r>
              <w:rPr>
                <w:b w:val="0"/>
                <w:sz w:val="19"/>
              </w:rPr>
              <w:t>Udaljeni nalog_z + konto + partneri; 2048%/2058%, promena='O'</w:t>
            </w:r>
          </w:p>
        </w:tc>
        <w:tc>
          <w:tcPr>
            <w:tcW w:type="dxa" w:w="3736"/>
            <w:vAlign w:val="center"/>
            <w:shd w:fill="F1F5F7"/>
            <w:tcMar>
              <w:top w:w="90" w:type="dxa"/>
              <w:bottom w:w="90" w:type="dxa"/>
              <w:left w:w="115" w:type="dxa"/>
              <w:right w:w="115" w:type="dxa"/>
            </w:tcMar>
          </w:tcPr>
          <w:p>
            <w:pPr>
              <w:spacing w:after="0" w:line="250" w:lineRule="auto"/>
            </w:pPr>
            <w:r>
              <w:rPr>
                <w:b w:val="0"/>
                <w:sz w:val="19"/>
              </w:rPr>
              <w:t>Lokalni računovodstveni pregled utuženih potraživanja</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v_neodobreneIF</w:t>
            </w:r>
          </w:p>
        </w:tc>
        <w:tc>
          <w:tcPr>
            <w:tcW w:type="dxa" w:w="4535"/>
            <w:vAlign w:val="center"/>
            <w:shd w:fill="FFFFFF"/>
            <w:tcMar>
              <w:top w:w="90" w:type="dxa"/>
              <w:bottom w:w="90" w:type="dxa"/>
              <w:left w:w="115" w:type="dxa"/>
              <w:right w:w="115" w:type="dxa"/>
            </w:tcMar>
          </w:tcPr>
          <w:p>
            <w:pPr>
              <w:spacing w:after="0" w:line="250" w:lineRule="auto"/>
            </w:pPr>
            <w:r>
              <w:rPr>
                <w:b w:val="0"/>
                <w:sz w:val="19"/>
              </w:rPr>
              <w:t>EFaktura.EDok + EStatusIZ + BazaIMS.partner</w:t>
            </w:r>
          </w:p>
        </w:tc>
        <w:tc>
          <w:tcPr>
            <w:tcW w:type="dxa" w:w="3736"/>
            <w:vAlign w:val="center"/>
            <w:shd w:fill="FFFFFF"/>
            <w:tcMar>
              <w:top w:w="90" w:type="dxa"/>
              <w:bottom w:w="90" w:type="dxa"/>
              <w:left w:w="115" w:type="dxa"/>
              <w:right w:w="115" w:type="dxa"/>
            </w:tcMar>
          </w:tcPr>
          <w:p>
            <w:pPr>
              <w:spacing w:after="0" w:line="250" w:lineRule="auto"/>
            </w:pPr>
            <w:r>
              <w:rPr>
                <w:b w:val="0"/>
                <w:sz w:val="19"/>
              </w:rPr>
              <w:t>Sinhronizovani elektronski dokumenti/statusi</w:t>
            </w:r>
          </w:p>
        </w:tc>
      </w:tr>
    </w:tbl>
    <w:p>
      <w:pPr>
        <w:spacing w:after="40" w:before="0" w:line="60" w:lineRule="exact"/>
      </w:pPr>
    </w:p>
    <w:p>
      <w:r>
        <w:rPr>
          <w:b w:val="0"/>
          <w:sz w:val="20"/>
        </w:rPr>
        <w:t>v_neodobreneIF</w:t>
      </w:r>
      <w:r>
        <w:rPr>
          <w:b w:val="0"/>
        </w:rPr>
        <w:t xml:space="preserve"> filtrira datum dokumenta od 2025, </w:t>
      </w:r>
      <w:r>
        <w:rPr>
          <w:b w:val="0"/>
          <w:sz w:val="20"/>
        </w:rPr>
        <w:t>sif_dok=50</w:t>
      </w:r>
      <w:r>
        <w:rPr>
          <w:b w:val="0"/>
        </w:rPr>
        <w:t xml:space="preserve">, </w:t>
      </w:r>
      <w:r>
        <w:rPr>
          <w:b w:val="0"/>
          <w:sz w:val="20"/>
        </w:rPr>
        <w:t>StatusIz=20</w:t>
      </w:r>
      <w:r>
        <w:rPr>
          <w:b w:val="0"/>
        </w:rPr>
        <w:t xml:space="preserve"> i status različit od Approved. To je podskup poslatih faktura, ne kompletna istorija SEF statusa. Izvorni </w:t>
      </w:r>
      <w:r>
        <w:rPr>
          <w:b w:val="0"/>
          <w:sz w:val="20"/>
        </w:rPr>
        <w:t>EDok</w:t>
      </w:r>
      <w:r>
        <w:rPr>
          <w:b w:val="0"/>
        </w:rPr>
        <w:t xml:space="preserve"> ima pravi primarni ključ </w:t>
      </w:r>
      <w:r>
        <w:rPr>
          <w:b/>
        </w:rPr>
        <w:t>ID</w:t>
      </w:r>
      <w:r>
        <w:rPr>
          <w:b w:val="0"/>
        </w:rPr>
        <w:t xml:space="preserve">; sačuvati ga. Izvedeni prikaz broja fakture </w:t>
      </w:r>
      <w:r>
        <w:rPr>
          <w:b w:val="0"/>
          <w:sz w:val="20"/>
        </w:rPr>
        <w:t>SUBSTRING(EID,5,20)</w:t>
      </w:r>
      <w:r>
        <w:rPr>
          <w:b w:val="0"/>
        </w:rPr>
        <w:t xml:space="preserve"> nije pouzdan identifikator za sinhronizaciju.</w:t>
      </w:r>
    </w:p>
    <w:p>
      <w:r>
        <w:rPr>
          <w:b w:val="0"/>
        </w:rPr>
        <w:t>Postojeći detalj partnera pri otvaranju radi deset SQL upita, uz šest ORM kolekcija operativnih evidencija. Više puta prolazi isti lanac view-ova radi baketa i spiskova faktura. Stranice pretežno povlače ceo rezultat pa tek onda koriste tabelu u pregledaču. Pravna služba već ima hero elemente, ali ostatak Naplate nema jedinstven osnovni šablon i servis podataka.</w:t>
      </w:r>
    </w:p>
    <w:p>
      <w:pPr>
        <w:pStyle w:val="Heading1"/>
      </w:pPr>
      <w:r>
        <w:rPr>
          <w:b w:val="0"/>
        </w:rPr>
        <w:t>3  Obim podataka i nalazi kvaliteta</w:t>
      </w:r>
    </w:p>
    <w:p>
      <w:r>
        <w:rPr>
          <w:b w:val="0"/>
        </w:rPr>
        <w:t>Brojevi su snimak tokom pregleda, ne trajne konstante; veličine tabela očitane su iz SQL metapodataka, a navedene kontrole kvaliteta zasebnim agregatnim upitima.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1304"/>
        <w:gridCol w:w="5210"/>
      </w:tblGrid>
      <w:tr>
        <w:trPr>
          <w:cantSplit/>
          <w:tblHeader/>
        </w:trPr>
        <w:tc>
          <w:tcPr>
            <w:tcW w:type="dxa" w:w="3458"/>
            <w:vAlign w:val="center"/>
            <w:shd w:fill="17384F"/>
            <w:tcMar>
              <w:top w:w="90" w:type="dxa"/>
              <w:bottom w:w="90" w:type="dxa"/>
              <w:left w:w="115" w:type="dxa"/>
              <w:right w:w="115" w:type="dxa"/>
            </w:tcMar>
          </w:tcPr>
          <w:p>
            <w:pPr>
              <w:spacing w:after="0" w:line="250" w:lineRule="auto"/>
            </w:pPr>
            <w:r>
              <w:rPr>
                <w:b/>
                <w:color w:val="FFFFFF"/>
                <w:sz w:val="19"/>
              </w:rPr>
              <w:t>Evidencija</w:t>
            </w:r>
          </w:p>
        </w:tc>
        <w:tc>
          <w:tcPr>
            <w:tcW w:type="dxa" w:w="1304"/>
            <w:vAlign w:val="center"/>
            <w:shd w:fill="17384F"/>
            <w:tcMar>
              <w:top w:w="90" w:type="dxa"/>
              <w:bottom w:w="90" w:type="dxa"/>
              <w:left w:w="115" w:type="dxa"/>
              <w:right w:w="115" w:type="dxa"/>
            </w:tcMar>
          </w:tcPr>
          <w:p>
            <w:pPr>
              <w:spacing w:after="0" w:line="250" w:lineRule="auto"/>
              <w:jc w:val="right"/>
            </w:pPr>
            <w:r>
              <w:rPr>
                <w:b/>
                <w:color w:val="FFFFFF"/>
                <w:sz w:val="19"/>
              </w:rPr>
              <w:t>Broj redova</w:t>
            </w:r>
          </w:p>
        </w:tc>
        <w:tc>
          <w:tcPr>
            <w:tcW w:type="dxa" w:w="5210"/>
            <w:vAlign w:val="center"/>
            <w:shd w:fill="17384F"/>
            <w:tcMar>
              <w:top w:w="90" w:type="dxa"/>
              <w:bottom w:w="90" w:type="dxa"/>
              <w:left w:w="115" w:type="dxa"/>
              <w:right w:w="115" w:type="dxa"/>
            </w:tcMar>
          </w:tcPr>
          <w:p>
            <w:pPr>
              <w:spacing w:after="0" w:line="250" w:lineRule="auto"/>
            </w:pPr>
            <w:r>
              <w:rPr>
                <w:b/>
                <w:color w:val="FFFFFF"/>
                <w:sz w:val="19"/>
              </w:rPr>
              <w:t>Prenos</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Lokalni nalog_z</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731.627</w:t>
            </w:r>
          </w:p>
        </w:tc>
        <w:tc>
          <w:tcPr>
            <w:tcW w:type="dxa" w:w="5210"/>
            <w:vAlign w:val="center"/>
            <w:shd w:fill="F1F5F7"/>
            <w:tcMar>
              <w:top w:w="90" w:type="dxa"/>
              <w:bottom w:w="90" w:type="dxa"/>
              <w:left w:w="115" w:type="dxa"/>
              <w:right w:w="115" w:type="dxa"/>
            </w:tcMar>
          </w:tcPr>
          <w:p>
            <w:pPr>
              <w:spacing w:after="0" w:line="250" w:lineRule="auto"/>
            </w:pPr>
            <w:r>
              <w:rPr>
                <w:b w:val="0"/>
                <w:sz w:val="19"/>
              </w:rPr>
              <w:t>Knjiženja 2019–2026; u Naplatu preuzimati potreban obuhvat</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tabela_if</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98.791</w:t>
            </w:r>
          </w:p>
        </w:tc>
        <w:tc>
          <w:tcPr>
            <w:tcW w:type="dxa" w:w="5210"/>
            <w:vAlign w:val="center"/>
            <w:shd w:fill="FFFFFF"/>
            <w:tcMar>
              <w:top w:w="90" w:type="dxa"/>
              <w:bottom w:w="90" w:type="dxa"/>
              <w:left w:w="115" w:type="dxa"/>
              <w:right w:w="115" w:type="dxa"/>
            </w:tcMar>
          </w:tcPr>
          <w:p>
            <w:pPr>
              <w:spacing w:after="0" w:line="250" w:lineRule="auto"/>
            </w:pPr>
            <w:r>
              <w:rPr>
                <w:b w:val="0"/>
                <w:sz w:val="19"/>
              </w:rPr>
              <w:t>Istorija 2006–2024, obavezno sačuvati</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duplikati18</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111.153</w:t>
            </w:r>
          </w:p>
        </w:tc>
        <w:tc>
          <w:tcPr>
            <w:tcW w:type="dxa" w:w="5210"/>
            <w:vAlign w:val="center"/>
            <w:shd w:fill="F1F5F7"/>
            <w:tcMar>
              <w:top w:w="90" w:type="dxa"/>
              <w:bottom w:w="90" w:type="dxa"/>
              <w:left w:w="115" w:type="dxa"/>
              <w:right w:w="115" w:type="dxa"/>
            </w:tcMar>
          </w:tcPr>
          <w:p>
            <w:pPr>
              <w:spacing w:after="0" w:line="250" w:lineRule="auto"/>
            </w:pPr>
            <w:r>
              <w:rPr>
                <w:b w:val="0"/>
                <w:sz w:val="19"/>
              </w:rPr>
              <w:t>Istorija 2006–2020, obavezno sačuvati</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Kontakti</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654</w:t>
            </w:r>
          </w:p>
        </w:tc>
        <w:tc>
          <w:tcPr>
            <w:tcW w:type="dxa" w:w="5210"/>
            <w:vAlign w:val="center"/>
            <w:shd w:fill="FFFFFF"/>
            <w:tcMar>
              <w:top w:w="90" w:type="dxa"/>
              <w:bottom w:w="90" w:type="dxa"/>
              <w:left w:w="115" w:type="dxa"/>
              <w:right w:w="115" w:type="dxa"/>
            </w:tcMar>
          </w:tcPr>
          <w:p>
            <w:pPr>
              <w:spacing w:after="0" w:line="250" w:lineRule="auto"/>
            </w:pPr>
            <w:r>
              <w:rPr>
                <w:b w:val="0"/>
                <w:sz w:val="19"/>
              </w:rPr>
              <w:t>Prenos u povezanu evidenciju kontakata</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Napomene</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103</w:t>
            </w:r>
          </w:p>
        </w:tc>
        <w:tc>
          <w:tcPr>
            <w:tcW w:type="dxa" w:w="5210"/>
            <w:vAlign w:val="center"/>
            <w:shd w:fill="F1F5F7"/>
            <w:tcMar>
              <w:top w:w="90" w:type="dxa"/>
              <w:bottom w:w="90" w:type="dxa"/>
              <w:left w:w="115" w:type="dxa"/>
              <w:right w:w="115" w:type="dxa"/>
            </w:tcMar>
          </w:tcPr>
          <w:p>
            <w:pPr>
              <w:spacing w:after="0" w:line="250" w:lineRule="auto"/>
            </w:pPr>
            <w:r>
              <w:rPr>
                <w:b w:val="0"/>
                <w:sz w:val="19"/>
              </w:rPr>
              <w:t>Tekst napomene + izdvajanje oznake važnog kupca</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Opomene</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895</w:t>
            </w:r>
          </w:p>
        </w:tc>
        <w:tc>
          <w:tcPr>
            <w:tcW w:type="dxa" w:w="5210"/>
            <w:vAlign w:val="center"/>
            <w:shd w:fill="FFFFFF"/>
            <w:tcMar>
              <w:top w:w="90" w:type="dxa"/>
              <w:bottom w:w="90" w:type="dxa"/>
              <w:left w:w="115" w:type="dxa"/>
              <w:right w:w="115" w:type="dxa"/>
            </w:tcMar>
          </w:tcPr>
          <w:p>
            <w:pPr>
              <w:spacing w:after="0" w:line="250" w:lineRule="auto"/>
            </w:pPr>
            <w:r>
              <w:rPr>
                <w:b w:val="0"/>
                <w:sz w:val="19"/>
              </w:rPr>
              <w:t>Dokumenti sa stavkama i sačuvanim originalnim tekstom faktura</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Pozivna pisma</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133</w:t>
            </w:r>
          </w:p>
        </w:tc>
        <w:tc>
          <w:tcPr>
            <w:tcW w:type="dxa" w:w="5210"/>
            <w:vAlign w:val="center"/>
            <w:shd w:fill="F1F5F7"/>
            <w:tcMar>
              <w:top w:w="90" w:type="dxa"/>
              <w:bottom w:w="90" w:type="dxa"/>
              <w:left w:w="115" w:type="dxa"/>
              <w:right w:w="115" w:type="dxa"/>
            </w:tcMar>
          </w:tcPr>
          <w:p>
            <w:pPr>
              <w:spacing w:after="0" w:line="250" w:lineRule="auto"/>
            </w:pPr>
            <w:r>
              <w:rPr>
                <w:b w:val="0"/>
                <w:sz w:val="19"/>
              </w:rPr>
              <w:t>Dokumenti iste porodice kao opomene</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Telefonski pozivi</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2.474</w:t>
            </w:r>
          </w:p>
        </w:tc>
        <w:tc>
          <w:tcPr>
            <w:tcW w:type="dxa" w:w="5210"/>
            <w:vAlign w:val="center"/>
            <w:shd w:fill="FFFFFF"/>
            <w:tcMar>
              <w:top w:w="90" w:type="dxa"/>
              <w:bottom w:w="90" w:type="dxa"/>
              <w:left w:w="115" w:type="dxa"/>
              <w:right w:w="115" w:type="dxa"/>
            </w:tcMar>
          </w:tcPr>
          <w:p>
            <w:pPr>
              <w:spacing w:after="0" w:line="250" w:lineRule="auto"/>
            </w:pPr>
            <w:r>
              <w:rPr>
                <w:b w:val="0"/>
                <w:sz w:val="19"/>
              </w:rPr>
              <w:t>Aktivnosti naplate</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Stara evidencija tužbi</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32</w:t>
            </w:r>
          </w:p>
        </w:tc>
        <w:tc>
          <w:tcPr>
            <w:tcW w:type="dxa" w:w="5210"/>
            <w:vAlign w:val="center"/>
            <w:shd w:fill="F1F5F7"/>
            <w:tcMar>
              <w:top w:w="90" w:type="dxa"/>
              <w:bottom w:w="90" w:type="dxa"/>
              <w:left w:w="115" w:type="dxa"/>
              <w:right w:w="115" w:type="dxa"/>
            </w:tcMar>
          </w:tcPr>
          <w:p>
            <w:pPr>
              <w:spacing w:after="0" w:line="250" w:lineRule="auto"/>
            </w:pPr>
            <w:r>
              <w:rPr>
                <w:b w:val="0"/>
                <w:sz w:val="19"/>
              </w:rPr>
              <w:t>Očuvati kao izvorne evidencije, povezivati provereno</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Spisak za proveru (</w:t>
            </w:r>
            <w:r>
              <w:rPr>
                <w:b w:val="0"/>
                <w:sz w:val="19"/>
              </w:rPr>
              <w:t>avans_klijent</w:t>
            </w:r>
            <w:r>
              <w:rPr>
                <w:b w:val="0"/>
                <w:sz w:val="19"/>
              </w:rPr>
              <w:t>)</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7</w:t>
            </w:r>
          </w:p>
        </w:tc>
        <w:tc>
          <w:tcPr>
            <w:tcW w:type="dxa" w:w="5210"/>
            <w:vAlign w:val="center"/>
            <w:shd w:fill="FFFFFF"/>
            <w:tcMar>
              <w:top w:w="90" w:type="dxa"/>
              <w:bottom w:w="90" w:type="dxa"/>
              <w:left w:w="115" w:type="dxa"/>
              <w:right w:w="115" w:type="dxa"/>
            </w:tcMar>
          </w:tcPr>
          <w:p>
            <w:pPr>
              <w:spacing w:after="0" w:line="250" w:lineRule="auto"/>
            </w:pPr>
            <w:r>
              <w:rPr>
                <w:b w:val="0"/>
                <w:sz w:val="19"/>
              </w:rPr>
              <w:t>Oznaka profila kupca, nije automatski knjigovodstveni avans</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Pravni postupci</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127</w:t>
            </w:r>
          </w:p>
        </w:tc>
        <w:tc>
          <w:tcPr>
            <w:tcW w:type="dxa" w:w="5210"/>
            <w:vAlign w:val="center"/>
            <w:shd w:fill="F1F5F7"/>
            <w:tcMar>
              <w:top w:w="90" w:type="dxa"/>
              <w:bottom w:w="90" w:type="dxa"/>
              <w:left w:w="115" w:type="dxa"/>
              <w:right w:w="115" w:type="dxa"/>
            </w:tcMar>
          </w:tcPr>
          <w:p>
            <w:pPr>
              <w:spacing w:after="0" w:line="250" w:lineRule="auto"/>
            </w:pPr>
            <w:r>
              <w:rPr>
                <w:b w:val="0"/>
                <w:sz w:val="19"/>
              </w:rPr>
              <w:t>Zadržati postojeće Django zapise i identitete</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Promene postupaka</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379</w:t>
            </w:r>
          </w:p>
        </w:tc>
        <w:tc>
          <w:tcPr>
            <w:tcW w:type="dxa" w:w="5210"/>
            <w:vAlign w:val="center"/>
            <w:shd w:fill="FFFFFF"/>
            <w:tcMar>
              <w:top w:w="90" w:type="dxa"/>
              <w:bottom w:w="90" w:type="dxa"/>
              <w:left w:w="115" w:type="dxa"/>
              <w:right w:w="115" w:type="dxa"/>
            </w:tcMar>
          </w:tcPr>
          <w:p>
            <w:pPr>
              <w:spacing w:after="0" w:line="250" w:lineRule="auto"/>
            </w:pPr>
            <w:r>
              <w:rPr>
                <w:b w:val="0"/>
                <w:sz w:val="19"/>
              </w:rPr>
              <w:t>Zadržati veze i celu istoriju</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Pravila baketa / kategorije</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7 / 2</w:t>
            </w:r>
          </w:p>
        </w:tc>
        <w:tc>
          <w:tcPr>
            <w:tcW w:type="dxa" w:w="5210"/>
            <w:vAlign w:val="center"/>
            <w:shd w:fill="F1F5F7"/>
            <w:tcMar>
              <w:top w:w="90" w:type="dxa"/>
              <w:bottom w:w="90" w:type="dxa"/>
              <w:left w:w="115" w:type="dxa"/>
              <w:right w:w="115" w:type="dxa"/>
            </w:tcMar>
          </w:tcPr>
          <w:p>
            <w:pPr>
              <w:spacing w:after="0" w:line="250" w:lineRule="auto"/>
            </w:pPr>
            <w:r>
              <w:rPr>
                <w:b w:val="0"/>
                <w:sz w:val="19"/>
              </w:rPr>
              <w:t>Uređeni šifarnici sa celobrojnim granicama</w:t>
            </w:r>
          </w:p>
        </w:tc>
      </w:tr>
    </w:tbl>
    <w:p>
      <w:pPr>
        <w:spacing w:after="40" w:before="0" w:line="60" w:lineRule="exact"/>
      </w:pPr>
    </w:p>
    <w:p>
      <w:pPr>
        <w:keepNext/>
      </w:pPr>
      <w:r>
        <w:rPr>
          <w:b w:val="0"/>
        </w:rPr>
        <w:t>Važni nalazi:</w:t>
      </w:r>
    </w:p>
    <w:p>
      <w:pPr>
        <w:ind w:left="312" w:hanging="312"/>
      </w:pPr>
      <w:r>
        <w:rPr>
          <w:b w:val="0"/>
        </w:rPr>
        <w:t xml:space="preserve">1. </w:t>
      </w:r>
      <w:r>
        <w:rPr>
          <w:b w:val="0"/>
          <w:sz w:val="20"/>
        </w:rPr>
        <w:t>partneri</w:t>
      </w:r>
      <w:r>
        <w:rPr>
          <w:b w:val="0"/>
        </w:rPr>
        <w:t xml:space="preserve"> ima 13.607 redova i 13.588 različitih </w:t>
      </w:r>
      <w:r>
        <w:rPr>
          <w:b w:val="0"/>
          <w:sz w:val="20"/>
        </w:rPr>
        <w:t>sif_par</w:t>
      </w:r>
      <w:r>
        <w:rPr>
          <w:b w:val="0"/>
        </w:rPr>
        <w:t>. Sama šifra nije globalni ključ. Provera kombinacije firma/grupa/šifra nije našla duplikate; nema ih ni za šifru unutar firme 1 i grupe 1. Nove veze moraju čuvati puni finansijski identitet.</w:t>
      </w:r>
    </w:p>
    <w:p>
      <w:pPr>
        <w:ind w:left="312" w:hanging="312"/>
      </w:pPr>
      <w:r>
        <w:rPr>
          <w:b w:val="0"/>
        </w:rPr>
        <w:t xml:space="preserve">2. </w:t>
      </w:r>
      <w:r>
        <w:rPr>
          <w:b w:val="0"/>
          <w:sz w:val="20"/>
        </w:rPr>
        <w:t>ugovori.Partner</w:t>
      </w:r>
      <w:r>
        <w:rPr>
          <w:b w:val="0"/>
        </w:rPr>
        <w:t xml:space="preserve"> već sadrži 13.406 partnera. U pregledanim podacima nema dupliranog nepraznog </w:t>
      </w:r>
      <w:r>
        <w:rPr>
          <w:b w:val="0"/>
          <w:sz w:val="20"/>
        </w:rPr>
        <w:t>external_sif_par</w:t>
      </w:r>
      <w:r>
        <w:rPr>
          <w:b w:val="0"/>
        </w:rPr>
        <w:t>, ali polje nije jedinstveno ograničeno i ne sadrži firmu/grupu. Postojeći import bira jednu grupu po šifri. Zato ga ne povezivati slepo samo po broju.</w:t>
      </w:r>
    </w:p>
    <w:p>
      <w:pPr>
        <w:ind w:left="312" w:hanging="312"/>
      </w:pPr>
      <w:r>
        <w:rPr>
          <w:b w:val="0"/>
        </w:rPr>
        <w:t>3. Pod pretpostavkom firme 1/grupe 1, 32 kontakta, 13 napomena i 16 opomena nemaju odgovarajućeg partnera. Među njima 32 kontakta, 13 napomena i 3 opomene imaju NULL ili necelobrojnu šifru. Sačuvati sve takve zapise za ručno povezivanje; ne odbacivati i ne vezivati po sličnom nazivu.</w:t>
      </w:r>
    </w:p>
    <w:p>
      <w:pPr>
        <w:ind w:left="312" w:hanging="312"/>
      </w:pPr>
      <w:r>
        <w:rPr>
          <w:b w:val="0"/>
        </w:rPr>
        <w:t>4. U tabela_if postoje 7.424 reda bez dospeća, a u duplikati18 njih 6.105. To nisu automatski brojevi današnjih otvorenih faktura bez dospeća, već kvalitet pomoćne istorije.</w:t>
      </w:r>
    </w:p>
    <w:p>
      <w:pPr>
        <w:ind w:left="312" w:hanging="312"/>
      </w:pPr>
      <w:r>
        <w:rPr>
          <w:b w:val="0"/>
        </w:rPr>
        <w:t>5. U nalog_z nisu pronađeni dupli ključevi firma/godina/vrsta/broj/stavka. Pregled metapodataka nije pokazao indekse na nalog_z i dvema istorijskim tabelama. Plan indeksa proveriti pre masovnog uvoza i prebacivanja; ne pretpostaviti da aplikacioni unique constraint ubrzava izvor.</w:t>
      </w:r>
    </w:p>
    <w:p>
      <w:pPr>
        <w:ind w:left="312" w:hanging="312"/>
      </w:pPr>
      <w:r>
        <w:rPr>
          <w:b w:val="0"/>
        </w:rPr>
        <w:t xml:space="preserve">6. Stare operativne tabele koriste i </w:t>
      </w:r>
      <w:r>
        <w:rPr>
          <w:b w:val="0"/>
          <w:sz w:val="20"/>
        </w:rPr>
        <w:t>float</w:t>
      </w:r>
      <w:r>
        <w:rPr>
          <w:b w:val="0"/>
        </w:rPr>
        <w:t xml:space="preserve"> za šifre i iznose; fakture u opomenama su tekst. Novi iznosi koriste Decimal, a veze FK. Sačuvati originalnu vrednost i kontrolisati zaokruživanje.</w:t>
      </w:r>
    </w:p>
    <w:p>
      <w:pPr>
        <w:ind w:left="312" w:hanging="312"/>
      </w:pPr>
      <w:r>
        <w:rPr>
          <w:b w:val="0"/>
        </w:rPr>
        <w:t xml:space="preserve">7. </w:t>
      </w:r>
      <w:r>
        <w:rPr>
          <w:b w:val="0"/>
          <w:sz w:val="20"/>
        </w:rPr>
        <w:t>tabela_if.saldo</w:t>
      </w:r>
      <w:r>
        <w:rPr>
          <w:b w:val="0"/>
        </w:rPr>
        <w:t xml:space="preserve"> je SQL numeric(38,2). Izmereni najveći apsolutni iznos staje u decimal(18,2), ali uvoz ipak mora proveravati opseg, umesto prećutnog sužavanja tipa.</w:t>
      </w:r>
    </w:p>
    <w:p>
      <w:pPr>
        <w:pStyle w:val="Heading1"/>
      </w:pPr>
      <w:r>
        <w:rPr>
          <w:b w:val="0"/>
        </w:rPr>
        <w:t>4  Predložene Django evidencije</w:t>
      </w:r>
    </w:p>
    <w:p>
      <w:r>
        <w:rPr>
          <w:b w:val="0"/>
        </w:rPr>
        <w:t>Tabela opisuje ciljnu strukturu. Početni modeli su formirani; razlike i obuhvat prve faze navedeni su u odeljku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968"/>
      </w:tblGrid>
      <w:tr>
        <w:trPr>
          <w:cantSplit/>
          <w:tblHeader/>
        </w:trPr>
        <w:tc>
          <w:tcPr>
            <w:tcW w:type="dxa" w:w="3005"/>
            <w:vAlign w:val="center"/>
            <w:shd w:fill="17384F"/>
            <w:tcMar>
              <w:top w:w="90" w:type="dxa"/>
              <w:bottom w:w="90" w:type="dxa"/>
              <w:left w:w="115" w:type="dxa"/>
              <w:right w:w="115" w:type="dxa"/>
            </w:tcMar>
          </w:tcPr>
          <w:p>
            <w:pPr>
              <w:spacing w:after="0" w:line="250" w:lineRule="auto"/>
            </w:pPr>
            <w:r>
              <w:rPr>
                <w:b/>
                <w:color w:val="FFFFFF"/>
                <w:sz w:val="19"/>
              </w:rPr>
              <w:t>Model / evidencija</w:t>
            </w:r>
          </w:p>
        </w:tc>
        <w:tc>
          <w:tcPr>
            <w:tcW w:type="dxa" w:w="6968"/>
            <w:vAlign w:val="center"/>
            <w:shd w:fill="17384F"/>
            <w:tcMar>
              <w:top w:w="90" w:type="dxa"/>
              <w:bottom w:w="90" w:type="dxa"/>
              <w:left w:w="115" w:type="dxa"/>
              <w:right w:w="115" w:type="dxa"/>
            </w:tcMar>
          </w:tcPr>
          <w:p>
            <w:pPr>
              <w:spacing w:after="0" w:line="250" w:lineRule="auto"/>
            </w:pPr>
            <w:r>
              <w:rPr>
                <w:b/>
                <w:color w:val="FFFFFF"/>
                <w:sz w:val="19"/>
              </w:rPr>
              <w:t>Sadržaj i veze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FinancePartnerIdentity</w:t>
            </w:r>
          </w:p>
        </w:tc>
        <w:tc>
          <w:tcPr>
            <w:tcW w:type="dxa" w:w="6968"/>
            <w:vAlign w:val="center"/>
            <w:shd w:fill="F1F5F7"/>
            <w:tcMar>
              <w:top w:w="90" w:type="dxa"/>
              <w:bottom w:w="90" w:type="dxa"/>
              <w:left w:w="115" w:type="dxa"/>
              <w:right w:w="115" w:type="dxa"/>
            </w:tcMar>
          </w:tcPr>
          <w:p>
            <w:pPr>
              <w:spacing w:after="0" w:line="250" w:lineRule="auto"/>
            </w:pPr>
            <w:r>
              <w:rPr>
                <w:b w:val="0"/>
                <w:sz w:val="19"/>
              </w:rPr>
              <w:t xml:space="preserve">Jedinstveni </w:t>
            </w:r>
            <w:r>
              <w:rPr>
                <w:b w:val="0"/>
                <w:sz w:val="19"/>
              </w:rPr>
              <w:t>(source_system, company, partner_group, partner_code)</w:t>
            </w:r>
            <w:r>
              <w:rPr>
                <w:b w:val="0"/>
                <w:sz w:val="19"/>
              </w:rPr>
              <w:t xml:space="preserve">, izvorni naziv/podaci, opcioni FK na </w:t>
            </w:r>
            <w:r>
              <w:rPr>
                <w:b w:val="0"/>
                <w:sz w:val="19"/>
              </w:rPr>
              <w:t>ugovori.Partner</w:t>
            </w:r>
            <w:r>
              <w:rPr>
                <w:b w:val="0"/>
                <w:sz w:val="19"/>
              </w:rPr>
              <w:t>, stanje mapiranja i izvor sinhronizacije</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CollectionProfile</w:t>
            </w:r>
          </w:p>
        </w:tc>
        <w:tc>
          <w:tcPr>
            <w:tcW w:type="dxa" w:w="6968"/>
            <w:vAlign w:val="center"/>
            <w:shd w:fill="FFFFFF"/>
            <w:tcMar>
              <w:top w:w="90" w:type="dxa"/>
              <w:bottom w:w="90" w:type="dxa"/>
              <w:left w:w="115" w:type="dxa"/>
              <w:right w:w="115" w:type="dxa"/>
            </w:tcMar>
          </w:tcPr>
          <w:p>
            <w:pPr>
              <w:spacing w:after="0" w:line="250" w:lineRule="auto"/>
            </w:pPr>
            <w:r>
              <w:rPr>
                <w:b w:val="0"/>
                <w:sz w:val="19"/>
              </w:rPr>
              <w:t>Jedan profil po finansijskom identitetu: važan kupac, spisak za proveru, odgovorna osoba; Django vlasnik ovih podataka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ReceivablePosting</w:t>
            </w:r>
          </w:p>
        </w:tc>
        <w:tc>
          <w:tcPr>
            <w:tcW w:type="dxa" w:w="6968"/>
            <w:vAlign w:val="center"/>
            <w:shd w:fill="F1F5F7"/>
            <w:tcMar>
              <w:top w:w="90" w:type="dxa"/>
              <w:bottom w:w="90" w:type="dxa"/>
              <w:left w:w="115" w:type="dxa"/>
              <w:right w:w="115" w:type="dxa"/>
            </w:tcMar>
          </w:tcPr>
          <w:p>
            <w:pPr>
              <w:spacing w:after="0" w:line="250" w:lineRule="auto"/>
            </w:pPr>
            <w:r>
              <w:rPr>
                <w:b w:val="0"/>
                <w:sz w:val="19"/>
              </w:rPr>
              <w:t>Jedna izvorna stavka, jedinstveni izvor/firma/godina/vrsta/broj/stavka; partner, konto, OJ, šifra posla, datum dokumenta/knjiženja/dospeća, duguje/potražuje, izvorni hash i aktivnost</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InvoiceDocument</w:t>
            </w:r>
          </w:p>
        </w:tc>
        <w:tc>
          <w:tcPr>
            <w:tcW w:type="dxa" w:w="6968"/>
            <w:vAlign w:val="center"/>
            <w:shd w:fill="FFFFFF"/>
            <w:tcMar>
              <w:top w:w="90" w:type="dxa"/>
              <w:bottom w:w="90" w:type="dxa"/>
              <w:left w:w="115" w:type="dxa"/>
              <w:right w:w="115" w:type="dxa"/>
            </w:tcMar>
          </w:tcPr>
          <w:p>
            <w:pPr>
              <w:spacing w:after="0" w:line="250" w:lineRule="auto"/>
            </w:pPr>
            <w:r>
              <w:rPr>
                <w:b w:val="0"/>
                <w:sz w:val="19"/>
              </w:rPr>
              <w:t>Izvorno identifikovan dokument, partner, godina i broj, datumi; stabilan ID koji ne zavisi od prikaznog broja ili trenutnog salda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DueDateEvidence</w:t>
            </w:r>
          </w:p>
        </w:tc>
        <w:tc>
          <w:tcPr>
            <w:tcW w:type="dxa" w:w="6968"/>
            <w:vAlign w:val="center"/>
            <w:shd w:fill="F1F5F7"/>
            <w:tcMar>
              <w:top w:w="90" w:type="dxa"/>
              <w:bottom w:w="90" w:type="dxa"/>
              <w:left w:w="115" w:type="dxa"/>
              <w:right w:w="115" w:type="dxa"/>
            </w:tcMar>
          </w:tcPr>
          <w:p>
            <w:pPr>
              <w:spacing w:after="0" w:line="250" w:lineRule="auto"/>
            </w:pPr>
            <w:r>
              <w:rPr>
                <w:b w:val="0"/>
                <w:sz w:val="19"/>
              </w:rPr>
              <w:t>Dospeća iz IF, tabela_if i duplikati18 sa godinom, partnerom, vezom, izvornim vrednostima i poreklom; istorijska pomoćna evidencija, ne još jedno knjiženje prihoda</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ReceivablePosition</w:t>
            </w:r>
          </w:p>
        </w:tc>
        <w:tc>
          <w:tcPr>
            <w:tcW w:type="dxa" w:w="6968"/>
            <w:vAlign w:val="center"/>
            <w:shd w:fill="FFFFFF"/>
            <w:tcMar>
              <w:top w:w="90" w:type="dxa"/>
              <w:bottom w:w="90" w:type="dxa"/>
              <w:left w:w="115" w:type="dxa"/>
              <w:right w:w="115" w:type="dxa"/>
            </w:tcMar>
          </w:tcPr>
          <w:p>
            <w:pPr>
              <w:spacing w:after="0" w:line="250" w:lineRule="auto"/>
            </w:pPr>
            <w:r>
              <w:rPr>
                <w:b w:val="0"/>
                <w:sz w:val="19"/>
              </w:rPr>
              <w:t>Izvedeno stanje po partneru, vezi dokumenta, šifri posla i porodici konta; duguje, potražuje, saldo, razrešeno dospeće i dokaz izbora; veza na objavljenu verziju obračuna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CollectionContact</w:t>
            </w:r>
          </w:p>
        </w:tc>
        <w:tc>
          <w:tcPr>
            <w:tcW w:type="dxa" w:w="6968"/>
            <w:vAlign w:val="center"/>
            <w:shd w:fill="F1F5F7"/>
            <w:tcMar>
              <w:top w:w="90" w:type="dxa"/>
              <w:bottom w:w="90" w:type="dxa"/>
              <w:left w:w="115" w:type="dxa"/>
              <w:right w:w="115" w:type="dxa"/>
            </w:tcMar>
          </w:tcPr>
          <w:p>
            <w:pPr>
              <w:spacing w:after="0" w:line="250" w:lineRule="auto"/>
            </w:pPr>
            <w:r>
              <w:rPr>
                <w:b w:val="0"/>
                <w:sz w:val="19"/>
              </w:rPr>
              <w:t>FK na finansijski identitet/profil, ime, kanal/adresa kontakta, napomena, aktivnost i autor; stari nerazrešeni kontakti ostaju sa oznakom potrebe za povezivanjem</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CollectionActivity</w:t>
            </w:r>
          </w:p>
        </w:tc>
        <w:tc>
          <w:tcPr>
            <w:tcW w:type="dxa" w:w="6968"/>
            <w:vAlign w:val="center"/>
            <w:shd w:fill="FFFFFF"/>
            <w:tcMar>
              <w:top w:w="90" w:type="dxa"/>
              <w:bottom w:w="90" w:type="dxa"/>
              <w:left w:w="115" w:type="dxa"/>
              <w:right w:w="115" w:type="dxa"/>
            </w:tcMar>
          </w:tcPr>
          <w:p>
            <w:pPr>
              <w:spacing w:after="0" w:line="250" w:lineRule="auto"/>
            </w:pPr>
            <w:r>
              <w:rPr>
                <w:b w:val="0"/>
                <w:sz w:val="19"/>
              </w:rPr>
              <w:t>Beleška ili telefonski kontakt: partner, datum događaja, sadržaj, autor, ishod; po potrebi budući rok za sledeću radnju</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CollectionNotice</w:t>
            </w:r>
            <w:r>
              <w:rPr>
                <w:b w:val="0"/>
                <w:sz w:val="19"/>
              </w:rPr>
              <w:t xml:space="preserve"> + </w:t>
            </w:r>
            <w:r>
              <w:rPr>
                <w:b w:val="0"/>
                <w:sz w:val="19"/>
              </w:rPr>
              <w:t>CollectionNoticeItem</w:t>
            </w:r>
          </w:p>
        </w:tc>
        <w:tc>
          <w:tcPr>
            <w:tcW w:type="dxa" w:w="6968"/>
            <w:vAlign w:val="center"/>
            <w:shd w:fill="F1F5F7"/>
            <w:tcMar>
              <w:top w:w="90" w:type="dxa"/>
              <w:bottom w:w="90" w:type="dxa"/>
              <w:left w:w="115" w:type="dxa"/>
              <w:right w:w="115" w:type="dxa"/>
            </w:tcMar>
          </w:tcPr>
          <w:p>
            <w:pPr>
              <w:spacing w:after="0" w:line="250" w:lineRule="auto"/>
            </w:pPr>
            <w:r>
              <w:rPr>
                <w:b w:val="0"/>
                <w:sz w:val="19"/>
              </w:rPr>
              <w:t>Opomena/pozivno pismo i njene stavke: partner, broj, godina, datum, iznos/valuta, vezani dokument, iznos u trenutku izdavanja; originalni tekst faktura se čuva</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ElectronicInvoiceStatus</w:t>
            </w:r>
          </w:p>
        </w:tc>
        <w:tc>
          <w:tcPr>
            <w:tcW w:type="dxa" w:w="6968"/>
            <w:vAlign w:val="center"/>
            <w:shd w:fill="FFFFFF"/>
            <w:tcMar>
              <w:top w:w="90" w:type="dxa"/>
              <w:bottom w:w="90" w:type="dxa"/>
              <w:left w:w="115" w:type="dxa"/>
              <w:right w:w="115" w:type="dxa"/>
            </w:tcMar>
          </w:tcPr>
          <w:p>
            <w:pPr>
              <w:spacing w:after="0" w:line="250" w:lineRule="auto"/>
            </w:pPr>
            <w:r>
              <w:rPr>
                <w:b w:val="0"/>
                <w:sz w:val="19"/>
              </w:rPr>
              <w:t>Izvorni EDok.ID/EID, firma, partner, OJ, godina, datumi, status i vreme statusa; posebna sinhronizacija jer nalog_z nije izvor SEF statusa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AgingRule</w:t>
            </w:r>
          </w:p>
        </w:tc>
        <w:tc>
          <w:tcPr>
            <w:tcW w:type="dxa" w:w="6968"/>
            <w:vAlign w:val="center"/>
            <w:shd w:fill="F1F5F7"/>
            <w:tcMar>
              <w:top w:w="90" w:type="dxa"/>
              <w:bottom w:w="90" w:type="dxa"/>
              <w:left w:w="115" w:type="dxa"/>
              <w:right w:w="115" w:type="dxa"/>
            </w:tcMar>
          </w:tcPr>
          <w:p>
            <w:pPr>
              <w:spacing w:after="0" w:line="250" w:lineRule="auto"/>
            </w:pPr>
            <w:r>
              <w:rPr>
                <w:b w:val="0"/>
                <w:sz w:val="19"/>
              </w:rPr>
              <w:t>Šifra, opis, granice dana, redosled i predložena aktivnost; bez float oznake 0.1 kao primarnog ključa</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CollectionSyncRun</w:t>
            </w:r>
            <w:r>
              <w:rPr>
                <w:b w:val="0"/>
                <w:sz w:val="19"/>
              </w:rPr>
              <w:t xml:space="preserve">, koraci i </w:t>
            </w:r>
            <w:r>
              <w:rPr>
                <w:b w:val="0"/>
                <w:sz w:val="19"/>
              </w:rPr>
              <w:t>ImportIssue</w:t>
            </w:r>
          </w:p>
        </w:tc>
        <w:tc>
          <w:tcPr>
            <w:tcW w:type="dxa" w:w="6968"/>
            <w:vAlign w:val="center"/>
            <w:shd w:fill="FFFFFF"/>
            <w:tcMar>
              <w:top w:w="90" w:type="dxa"/>
              <w:bottom w:w="90" w:type="dxa"/>
              <w:left w:w="115" w:type="dxa"/>
              <w:right w:w="115" w:type="dxa"/>
            </w:tcMar>
          </w:tcPr>
          <w:p>
            <w:pPr>
              <w:spacing w:after="0" w:line="250" w:lineRule="auto"/>
            </w:pPr>
            <w:r>
              <w:rPr>
                <w:b w:val="0"/>
                <w:sz w:val="19"/>
              </w:rPr>
              <w:t>Obuhvat, status, izvori/verzije, kontrolni zbirovi, trajanje, greške, problemi mapiranja i bezbedno objavljivanje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LegacyImportMap</w:t>
            </w:r>
          </w:p>
        </w:tc>
        <w:tc>
          <w:tcPr>
            <w:tcW w:type="dxa" w:w="6968"/>
            <w:vAlign w:val="center"/>
            <w:shd w:fill="F1F5F7"/>
            <w:tcMar>
              <w:top w:w="90" w:type="dxa"/>
              <w:bottom w:w="90" w:type="dxa"/>
              <w:left w:w="115" w:type="dxa"/>
              <w:right w:w="115" w:type="dxa"/>
            </w:tcMar>
          </w:tcPr>
          <w:p>
            <w:pPr>
              <w:spacing w:after="0" w:line="250" w:lineRule="auto"/>
            </w:pPr>
            <w:r>
              <w:rPr>
                <w:b w:val="0"/>
                <w:sz w:val="19"/>
              </w:rPr>
              <w:t>Jedinstvena veza izvorna tabela/stari ID → novi zapis; osnova ponovljivog prenosa i kontrole da ništa nije izgubljeno</w:t>
            </w:r>
          </w:p>
        </w:tc>
      </w:tr>
    </w:tbl>
    <w:p>
      <w:pPr>
        <w:spacing w:after="40" w:before="0" w:line="60" w:lineRule="exact"/>
      </w:pPr>
    </w:p>
    <w:p>
      <w:r>
        <w:rPr>
          <w:b w:val="0"/>
        </w:rPr>
        <w:t xml:space="preserve">Postojeći </w:t>
      </w:r>
      <w:r>
        <w:rPr>
          <w:b w:val="0"/>
          <w:sz w:val="20"/>
        </w:rPr>
        <w:t>Postupak</w:t>
      </w:r>
      <w:r>
        <w:rPr>
          <w:b w:val="0"/>
        </w:rPr>
        <w:t xml:space="preserve"> i </w:t>
      </w:r>
      <w:r>
        <w:rPr>
          <w:b w:val="0"/>
          <w:sz w:val="20"/>
        </w:rPr>
        <w:t>PromenaPostupka</w:t>
      </w:r>
      <w:r>
        <w:rPr>
          <w:b w:val="0"/>
        </w:rPr>
        <w:t xml:space="preserve"> ostaju evidencija pravne službe. Dodavanje veze na finansijski identitet i dokumente radi se postepeno, nullable FK-om, uz očuvanje postojećeg naziva/šifre kao istorijskih vrednosti. Stare </w:t>
      </w:r>
      <w:r>
        <w:rPr>
          <w:b w:val="0"/>
          <w:sz w:val="20"/>
        </w:rPr>
        <w:t>tuzbe</w:t>
      </w:r>
      <w:r>
        <w:rPr>
          <w:b w:val="0"/>
        </w:rPr>
        <w:t xml:space="preserve">, knjigovodstveni </w:t>
      </w:r>
      <w:r>
        <w:rPr>
          <w:b w:val="0"/>
          <w:sz w:val="20"/>
        </w:rPr>
        <w:t>v_tuzeni</w:t>
      </w:r>
      <w:r>
        <w:rPr>
          <w:b w:val="0"/>
        </w:rPr>
        <w:t xml:space="preserve"> i pravni </w:t>
      </w:r>
      <w:r>
        <w:rPr>
          <w:b w:val="0"/>
          <w:sz w:val="20"/>
        </w:rPr>
        <w:t>Postupak</w:t>
      </w:r>
      <w:r>
        <w:rPr>
          <w:b w:val="0"/>
        </w:rPr>
        <w:t xml:space="preserve"> nisu tri kopije istog entiteta i ne smeju se automatski spojiti po partneru.</w:t>
      </w:r>
    </w:p>
    <w:p>
      <w:r>
        <w:rPr>
          <w:b w:val="0"/>
        </w:rPr>
        <w:t xml:space="preserve">Finansijski identitet nije novi konkurentski registar poslovnih partnera: čuva izvorni ključ i mapira ga na postojeći </w:t>
      </w:r>
      <w:r>
        <w:rPr>
          <w:b w:val="0"/>
          <w:sz w:val="20"/>
        </w:rPr>
        <w:t>ugovori.Partner</w:t>
      </w:r>
      <w:r>
        <w:rPr>
          <w:b w:val="0"/>
        </w:rPr>
        <w:t>. Ne prepisuje APR-proverene ili ručno održavane podatke tog registra. Podudaranje po PIB/MB je kandidat za proveru, ne automatski dokaz.</w:t>
      </w:r>
    </w:p>
    <w:p>
      <w:pPr>
        <w:keepNext/>
      </w:pPr>
      <w:r>
        <w:rPr>
          <w:b w:val="0"/>
        </w:rPr>
        <w:t>Pravila projektovanja:</w:t>
      </w:r>
    </w:p>
    <w:p>
      <w:pPr>
        <w:pStyle w:val="ListBullet"/>
      </w:pPr>
      <w:r>
        <w:rPr>
          <w:b w:val="0"/>
        </w:rPr>
        <w:t>Stabilni Django PK i unique constraints za proverene izvorne ključeve; ne koristiti naziv partnera, redni broj iz rezultata view-a ili hash promenljivog iznosa kao identitet.</w:t>
      </w:r>
    </w:p>
    <w:p>
      <w:pPr>
        <w:pStyle w:val="ListBullet"/>
      </w:pPr>
      <w:r>
        <w:rPr>
          <w:b w:val="0"/>
        </w:rPr>
        <w:t>Izvorna finansijska polja menja sinhronizacija; kontakte, aktivnosti, oznake i opomene menja korisnik. Ponovni uvoz ne sme izbrisati korisnički rad.</w:t>
      </w:r>
    </w:p>
    <w:p>
      <w:pPr>
        <w:pStyle w:val="ListBullet"/>
      </w:pPr>
      <w:r>
        <w:rPr>
          <w:b w:val="0"/>
        </w:rPr>
        <w:t>Decimal iznosi u RSD; devizni iznos i valuta zasebno. Ne sabirati devizne iznose različitih valuta. Konto domaće/ino iz starog izveštaja nije isto što i valuta knjiženja.</w:t>
      </w:r>
    </w:p>
    <w:p>
      <w:pPr>
        <w:pStyle w:val="ListBullet"/>
      </w:pPr>
      <w:r>
        <w:rPr>
          <w:b w:val="0"/>
        </w:rPr>
        <w:t xml:space="preserve">Dokument može biti ponovljenog broja u različitim godinama. POC/uplata sa </w:t>
      </w:r>
      <w:r>
        <w:rPr>
          <w:b w:val="0"/>
          <w:sz w:val="20"/>
        </w:rPr>
        <w:t>vez_dok</w:t>
      </w:r>
      <w:r>
        <w:rPr>
          <w:b w:val="0"/>
        </w:rPr>
        <w:t xml:space="preserve"> nije automatski dokument godine knjiženja. Nejasne veze ostaju nerazrešene, bez izmišljene raspodele.</w:t>
      </w:r>
    </w:p>
    <w:p>
      <w:pPr>
        <w:pStyle w:val="ListBullet"/>
      </w:pPr>
      <w:r>
        <w:rPr>
          <w:b w:val="0"/>
        </w:rPr>
        <w:t>Istorijske tabele nemaju PK: preneti ih u nepromenljivu uvoznu seriju, uz hash sadržaja i broj ponavljanja istog reda. Ponovljen uvoz iste serije ne dodaje duplikate; ne brisati identične izvorne redove bez utvrđivanja da li imaju poslovno značenje.</w:t>
      </w:r>
    </w:p>
    <w:p>
      <w:pPr>
        <w:pStyle w:val="ListBullet"/>
      </w:pPr>
      <w:r>
        <w:rPr>
          <w:b w:val="0"/>
        </w:rPr>
        <w:t>OJ i šifra posla se čuvaju kao izvorne vrednosti, uz buduće opcione veze na centralni organizacioni registar. Ovaj posao ne zavisi od završetka reorganizacije i ne parsira centar iz prefiksa šifre. Za sada koristiti postojeće provereno mapiranje centra.</w:t>
      </w:r>
    </w:p>
    <w:p>
      <w:pPr>
        <w:pStyle w:val="ListBullet"/>
      </w:pPr>
      <w:r>
        <w:rPr>
          <w:b w:val="0"/>
        </w:rPr>
        <w:t>Za reference na finansijske zapise koristiti zaštitu od fizičkog brisanja; promene i arhiviranje operativnih evidencija beležiti sa autorom i vremenom.</w:t>
      </w:r>
    </w:p>
    <w:p>
      <w:pPr>
        <w:pStyle w:val="Heading1"/>
      </w:pPr>
      <w:r>
        <w:rPr>
          <w:b w:val="0"/>
        </w:rPr>
        <w:t>5  Obračuni koji moraju biti eksplicitni</w:t>
      </w:r>
    </w:p>
    <w:p>
      <w:r>
        <w:rPr>
          <w:b w:val="0"/>
        </w:rPr>
        <w:t xml:space="preserve">Saldo je </w:t>
      </w:r>
      <w:r>
        <w:rPr>
          <w:b/>
        </w:rPr>
        <w:t>zbir duguje − zbir potražuje</w:t>
      </w:r>
      <w:r>
        <w:rPr>
          <w:b w:val="0"/>
        </w:rPr>
        <w:t xml:space="preserve"> nad izabranim knjiženjima. U postojećem prikazu </w:t>
      </w:r>
      <w:r>
        <w:rPr>
          <w:b w:val="0"/>
          <w:sz w:val="20"/>
        </w:rPr>
        <w:t>potražuje</w:t>
      </w:r>
      <w:r>
        <w:rPr>
          <w:b w:val="0"/>
        </w:rPr>
        <w:t xml:space="preserve"> nije dokazana zasebna evidencija bankarskih uplata: može sadržati i preknjiženja ili druga zatvaranja. Bez potvrđenih vrsta knjiženja i povezivanja ne zvati taj zbir „naplaćeno“.</w:t>
      </w:r>
    </w:p>
    <w:p>
      <w:r>
        <w:rPr>
          <w:b w:val="0"/>
        </w:rPr>
        <w:t>Početnu kompatibilnu projekciju računati kao postojeći dodela_baketa: partner + veza dokumenta + šifra posla + porodica konta, uz eksplicitnu firmu/grupu u novom modelu. Naziv partnera nije identitet. Sačuvati i negativne salde; oni se ne smeju pretvoriti u nulu ili ukloniti kao greška. Nulti saldo može nestati sa liste otvorenih stavki, ali njegovi dokumenti i aktivnosti ostaju.</w:t>
      </w:r>
    </w:p>
    <w:p>
      <w:r>
        <w:rPr>
          <w:b w:val="0"/>
        </w:rPr>
        <w:t>Dospeće: postojeći algoritam za partnera/vezu koja postoji u više godina bira MAX dospeća; za ostale bira MIN iz v_if. Sačuvati trag koji izvor je doveo do datuma. Zbog nedostatka firme/grupe u staroj istoriji potrebna je provera pripadnosti; ne množiti nasleđene podatke na više partnera koji slučajno imaju istu šifru.</w:t>
      </w:r>
    </w:p>
    <w:p>
      <w:r>
        <w:rPr>
          <w:b w:val="0"/>
        </w:rPr>
        <w:t>Starosni razredi su: nedospelo (dospeće na dan analize ili u budućnosti), 1–30, 31–45, 46–60, 61–90, 91–180 i preko 180 dana kašnjenja. Danas bez dospeća CASE daje baket 0.1, a drugi CASE kategoriju 1; to je nesaglasnost. U novom UI predložena je zasebna oznaka „Bez podatka o dospeću“, sa iznosom u ukupnom saldu. Promenu raspodele u sumarnim baketima potvrditi pre prelaska.</w:t>
      </w:r>
    </w:p>
    <w:p>
      <w:r>
        <w:rPr>
          <w:b w:val="0"/>
        </w:rPr>
        <w:t xml:space="preserve">Godišnji obuhvat ostaje poseban za dugovanja, ispravke i utužene. Postojeći SQL koristi </w:t>
      </w:r>
      <w:r>
        <w:rPr>
          <w:b w:val="0"/>
          <w:sz w:val="20"/>
        </w:rPr>
        <w:t>DATEADD(DAY,119, početak godine)</w:t>
      </w:r>
      <w:r>
        <w:rPr>
          <w:b w:val="0"/>
        </w:rPr>
        <w:t xml:space="preserve"> i poređenje sa GETDATE sa vremenom. To nije potpuno isto što i uključivo kalendarski 30. april u svim godinama/satima. Korisnik je potvrdio prethodnu godinu za ispravke; tačno ponašanje granice i prestupne godine posebno usaglasiti i testirati.</w:t>
      </w:r>
    </w:p>
    <w:p>
      <w:r>
        <w:rPr>
          <w:b w:val="0"/>
        </w:rPr>
        <w:t xml:space="preserve">UI jasno razlikuje </w:t>
      </w:r>
      <w:r>
        <w:rPr>
          <w:b/>
        </w:rPr>
        <w:t>datum stanja salda</w:t>
      </w:r>
      <w:r>
        <w:rPr>
          <w:b w:val="0"/>
        </w:rPr>
        <w:t xml:space="preserve">, </w:t>
      </w:r>
      <w:r>
        <w:rPr>
          <w:b/>
        </w:rPr>
        <w:t>datum računanja starosti</w:t>
      </w:r>
      <w:r>
        <w:rPr>
          <w:b w:val="0"/>
        </w:rPr>
        <w:t xml:space="preserve"> i </w:t>
      </w:r>
      <w:r>
        <w:rPr>
          <w:b/>
        </w:rPr>
        <w:t>vreme preuzimanja</w:t>
      </w:r>
      <w:r>
        <w:rPr>
          <w:b w:val="0"/>
        </w:rPr>
        <w:t>. Starost računati lokalno za datum analize, da sutrašnje kašnjenje ne zavisi od osvežavanja iznosa u 10 h. Istorijsko stanje na izabrani dan zahteva knjiženja/početno stanje tog obuhvata; zamena GETDATE datumom ne vraća sama istorijski saldo. Snimci čuvaju stanje od početka njihovog vođenja; prethodno poznato stanje nije moguće rekonstruisati iz jednog današnjeg snimka.</w:t>
      </w:r>
    </w:p>
    <w:p>
      <w:pPr>
        <w:pStyle w:val="Heading1"/>
      </w:pPr>
      <w:r>
        <w:rPr>
          <w:b w:val="0"/>
        </w:rPr>
        <w:t>6  Sinhronizacija</w:t>
      </w:r>
    </w:p>
    <w:p>
      <w:pPr>
        <w:keepNext/>
      </w:pPr>
      <w:r>
        <w:rPr>
          <w:b w:val="0"/>
        </w:rPr>
        <w:t>Predloženi tok nakon realizacije i provere obuhvata lokalnog izvora:</w:t>
      </w:r>
    </w:p>
    <w:p>
      <w:pPr>
        <w:pStyle w:val="Heading2"/>
      </w:pPr>
      <w:r>
        <w:rPr>
          <w:b w:val="0"/>
        </w:rPr>
        <w:t>Tok podataka</w:t>
      </w:r>
    </w:p>
    <w:p>
      <w:r>
        <w:rPr>
          <w:b w:val="0"/>
        </w:rPr>
        <w:t>Udaljeni ERP → procedura sp_AzurirajNalogZ → lokalni nalog_z → privremeni uvoz → provere → objavljene Django tabele → UI i Excel.</w:t>
      </w:r>
    </w:p>
    <w:p>
      <w:r>
        <w:rPr>
          <w:b w:val="0"/>
        </w:rPr>
        <w:t>Istorija dospeća, partneri i konta ulaze u isti kontrolisani uvoz. SEF statusi imaju poseban izvor, a korisničke aktivnosti ostaju zasebna povezana evidencija.</w:t>
      </w:r>
    </w:p>
    <w:p>
      <w:pPr>
        <w:ind w:left="312" w:hanging="312"/>
      </w:pPr>
      <w:r>
        <w:rPr>
          <w:b w:val="0"/>
        </w:rPr>
        <w:t>1. Jedna servisna funkcija i Celery omotač, kao kod postojećeg osvežavanja nalog_z. Ručni zahtev poziva istu funkciju; GET ne pokreće preuzimanje. SQL lock protiv preklapanja.</w:t>
      </w:r>
    </w:p>
    <w:p>
      <w:pPr>
        <w:ind w:left="312" w:hanging="312"/>
      </w:pPr>
      <w:r>
        <w:rPr>
          <w:b w:val="0"/>
        </w:rPr>
        <w:t>2. Iskoristiti postojeći raspored 10:00/11:00 kao jedan koordinisan tok: prvo procedura, zatim nova Naplata. Ne zakazivati dva nezavisna zadatka u isti minut i pretpostaviti redosled. Uvesti koordinaciju tek kada nova sinhronizacija bude spremna. Zauzet/neuspešan izvor nije uspešan preduslov za nastavak nad navodno svežim podacima.</w:t>
      </w:r>
    </w:p>
    <w:p>
      <w:pPr>
        <w:ind w:left="312" w:hanging="312"/>
      </w:pPr>
      <w:r>
        <w:rPr>
          <w:b w:val="0"/>
        </w:rPr>
        <w:t>3. Preuzimati lokalna knjiženja potrebnih konta za dugovanja/ispravke/utužene; dokaze dospeća izdvojeno iz svih potrebnih IF stavki i istorije. Ne sužavati dospeća automatski na ista dva konta kao saldo, jer postojeći v_if/v_duplikati ne koriste taj filter.</w:t>
      </w:r>
    </w:p>
    <w:p>
      <w:pPr>
        <w:ind w:left="312" w:hanging="312"/>
      </w:pPr>
      <w:r>
        <w:rPr>
          <w:b w:val="0"/>
        </w:rPr>
        <w:t>4. Procedura trenutno posle aprila osvežava samo tekuću godinu. Nova Naplata za ispravke tada traži prethodnu! Definisati odvojeno provereno osvežavanje prethodne godine ili proširenje procedure sa vlasnikom baze; postojeća stara kopija nije dokaz svežine.</w:t>
      </w:r>
    </w:p>
    <w:p>
      <w:pPr>
        <w:ind w:left="312" w:hanging="312"/>
      </w:pPr>
      <w:r>
        <w:rPr>
          <w:b w:val="0"/>
        </w:rPr>
        <w:t>5. Procedura ne propagira brisanja iz izvora. Samo čitanje lokalnog nalog_z ne može utvrditi da li je red udaljeno obrisan. Pre prelaska utvrditi tombstone/kompletno poređenje ili odgovarajuće proširenje izvornog osvežavanja. Postojeća procedura se ovim planom ne menja.</w:t>
      </w:r>
    </w:p>
    <w:p>
      <w:pPr>
        <w:ind w:left="312" w:hanging="312"/>
      </w:pPr>
      <w:r>
        <w:rPr>
          <w:b w:val="0"/>
        </w:rPr>
        <w:t>6. Bez pouzdanog datuma izmene ne koristiti samo MAX(id) ili nove brojeve naloga. Uvoz po kompletnom potvrđenom obuhvatu + hash sadržaja + ažuriranje postojećih ključeva. Nestali red označiti neaktivnim samo iz potvrđeno kompletnog autoritativnog obuhvata.</w:t>
      </w:r>
    </w:p>
    <w:p>
      <w:pPr>
        <w:ind w:left="312" w:hanging="312"/>
      </w:pPr>
      <w:r>
        <w:rPr>
          <w:b w:val="0"/>
        </w:rPr>
        <w:t>7. Pre objave proveriti broj redova, ključ, zbir D/P/salda po godini, kontu, partneru i šifri, pokrivenost istorijom, nerazrešene veze i NULL vrednosti. Objaviti celu novu verziju jednom transakcijom/promenom aktivne serije. Neuspeh zadržava poslednje kompletno stanje.</w:t>
      </w:r>
    </w:p>
    <w:p>
      <w:pPr>
        <w:ind w:left="312" w:hanging="312"/>
      </w:pPr>
      <w:r>
        <w:rPr>
          <w:b w:val="0"/>
        </w:rPr>
        <w:t>8. SEF osvežavati posebno po EDok.ID. Faktura koja nestane iz view-a neodobrenih može biti odobrena, obrisana ili van filtera; odsustvo ne znači samo po sebi status Approved. Za već praćene ID-jeve čitati stvarni status iz EDok; istorija počinje od trenutka praćenja.</w:t>
      </w:r>
    </w:p>
    <w:p>
      <w:pPr>
        <w:ind w:left="312" w:hanging="312"/>
      </w:pPr>
      <w:r>
        <w:rPr>
          <w:b w:val="0"/>
        </w:rPr>
        <w:t>9. Partneri/konta imaju zaseban korak preuzimanja i svoju evidenciju svežine. Nedostajući korak ne sme prećutno proizvesti „nema duga“. Prikazivati ishod svakog skupa podataka.</w:t>
      </w:r>
    </w:p>
    <w:p>
      <w:r>
        <w:rPr>
          <w:b w:val="0"/>
        </w:rPr>
        <w:t xml:space="preserve">Lokalni nalog_z je izvor, a </w:t>
      </w:r>
      <w:r>
        <w:rPr>
          <w:b w:val="0"/>
          <w:sz w:val="20"/>
        </w:rPr>
        <w:t>ReceivablePosting</w:t>
      </w:r>
      <w:r>
        <w:rPr>
          <w:b w:val="0"/>
        </w:rPr>
        <w:t xml:space="preserve"> je upravljana projekcija podataka za Naplatu, ne još jedan servis koji piše u nalog_z. </w:t>
      </w:r>
      <w:r>
        <w:rPr>
          <w:b w:val="0"/>
          <w:sz w:val="20"/>
        </w:rPr>
        <w:t>finansije.LedgerEntry</w:t>
      </w:r>
      <w:r>
        <w:rPr>
          <w:b w:val="0"/>
        </w:rPr>
        <w:t xml:space="preserve"> ostaje postojeći finansijski skup u ovoj fazi; ne menjati mu izvor ni pravila u istom koraku. Kasnije zajedničko preuzimanje može zameniti dupliranje tek kada se usaglase obuhvati, istorija i odgovornosti.</w:t>
      </w:r>
    </w:p>
    <w:p>
      <w:r>
        <w:rPr>
          <w:b w:val="0"/>
        </w:rPr>
        <w:t>Postojeći servis procedure i raspored su implementirani. U poslednjoj proveri broker nije bio dostupan i lokalni worker/Beat nisu bili pokrenuti. To ostaje uslov operativnog zakazivanja, uz worker koji poznaje novi koordinatorski zadatak. Ručno pokretanje ne zahteva broker.</w:t>
      </w:r>
    </w:p>
    <w:p>
      <w:pPr>
        <w:pStyle w:val="Heading1"/>
      </w:pPr>
      <w:r>
        <w:rPr>
          <w:b w:val="0"/>
        </w:rPr>
        <w:t>7  UI usklađen sa aplikacijom</w:t>
      </w:r>
    </w:p>
    <w:p>
      <w:pPr>
        <w:pStyle w:val="ListBullet"/>
      </w:pPr>
      <w:r>
        <w:rPr>
          <w:b w:val="0"/>
        </w:rPr>
        <w:t>Zajednički osnovni šablon sa hero prikazom; u pregledu ukupan saldo, dospelo/nedospelo, iznos bez dospeća, broj dužnika i raspodela po starosti/centrima. Sve oznake datuma eksplicitne.</w:t>
      </w:r>
    </w:p>
    <w:p>
      <w:pPr>
        <w:pStyle w:val="ListBullet"/>
      </w:pPr>
      <w:r>
        <w:rPr>
          <w:b w:val="0"/>
        </w:rPr>
        <w:t>Lista dugovanja: 100 redova po strani, AJAX i serversko filtriranje/sortiranje; partner, centar, šifra posla, razred, domaće/ino, važan kupac i spisak za proveru u kartici filtera. Pretraga šifarnika preko servera kada skup opcija postane veliki.</w:t>
      </w:r>
    </w:p>
    <w:p>
      <w:pPr>
        <w:pStyle w:val="ListBullet"/>
      </w:pPr>
      <w:r>
        <w:rPr>
          <w:b w:val="0"/>
        </w:rPr>
        <w:t>Detalj partnera: hero sa identitetom i iznosima, tabovi u kartici — otvorene stavke, knjiženja, dokumenti, kontakti, aktivnosti, opomene/pisma i pravni postupci. Ne ponavljati isto dugovanje u više gotovo jednakih tabela. Prve strane tabela preuzimati u pozadini sa ograničenim brojem paralelnih zahteva, bez čekanja klika na svaki tab.</w:t>
      </w:r>
    </w:p>
    <w:p>
      <w:pPr>
        <w:pStyle w:val="ListBullet"/>
      </w:pPr>
      <w:r>
        <w:rPr>
          <w:b w:val="0"/>
        </w:rPr>
        <w:t>Opomene/pisma: dokument + izbor njegovih faktura/stavki, sa sačuvanim iznosom u trenutku izdavanja. Excel uvoz prvo validira i pokaže problematične redove; identitet uvoza sprečava ponovno dodavanje istog fajla. Slanje mejla nije automatska posledica kreiranja dokumenta.</w:t>
      </w:r>
    </w:p>
    <w:p>
      <w:pPr>
        <w:pStyle w:val="ListBullet"/>
      </w:pPr>
      <w:r>
        <w:rPr>
          <w:b w:val="0"/>
        </w:rPr>
        <w:t>SEF, pravna služba i sinhronizacija imaju zasebne preglede u istom vizuelnom sistemu. Finansijski pregled utuženih i evidencija pravnih postupaka jasno se razlikuju.</w:t>
      </w:r>
    </w:p>
    <w:p>
      <w:pPr>
        <w:pStyle w:val="ListBullet"/>
      </w:pPr>
      <w:r>
        <w:rPr>
          <w:b w:val="0"/>
        </w:rPr>
        <w:t>Datumi se sortiraju po sirovoj vrednosti, brojevi po Decimal/numeričkom ključu, uključujući minus. Svetlozelena i jasna crvena uz znak i tekst; informacija ne zavisi samo od boje.</w:t>
      </w:r>
    </w:p>
    <w:p>
      <w:pPr>
        <w:pStyle w:val="ListBullet"/>
      </w:pPr>
      <w:r>
        <w:rPr>
          <w:b w:val="0"/>
        </w:rPr>
        <w:t>Excel koristi isti servis i iste filtere/dozvole kao tabela, uz zbir celog filtriranog skupa, ne samo prikazanih 100 redova.</w:t>
      </w:r>
    </w:p>
    <w:p>
      <w:pPr>
        <w:pStyle w:val="Heading1"/>
      </w:pPr>
      <w:r>
        <w:rPr>
          <w:b w:val="0"/>
        </w:rPr>
        <w:t>8  Prava i veze sa ostalim aplikacijama</w:t>
      </w:r>
    </w:p>
    <w:p>
      <w:r>
        <w:rPr>
          <w:b w:val="0"/>
        </w:rPr>
        <w:t xml:space="preserve">Stari detalj ograničava šifre zavisno i od </w:t>
      </w:r>
      <w:r>
        <w:rPr>
          <w:b w:val="0"/>
          <w:sz w:val="20"/>
        </w:rPr>
        <w:t>?report=1</w:t>
      </w:r>
      <w:r>
        <w:rPr>
          <w:b w:val="0"/>
        </w:rPr>
        <w:t>; ne prenositi taj obrazac u novu aplikaciju. Obuhvat određivati serverski iz korisničkih dozvola i centara u svakoj listi, detalju, AJAX zahtevu i izvozu, nezavisno od ulaznog URL-a. Za deljenog partnera ograničen korisnik vidi samo odobrene finansijske stavke; prava na kontakte i pravne podatke definisati odvojeno.</w:t>
      </w:r>
    </w:p>
    <w:p>
      <w:pPr>
        <w:keepNext/>
      </w:pPr>
      <w:r>
        <w:rPr>
          <w:b w:val="0"/>
        </w:rPr>
        <w:t>Pregledane veze koje zahtevaju kompatibilnost:</w:t>
      </w:r>
    </w:p>
    <w:p>
      <w:pPr>
        <w:pStyle w:val="ListBullet"/>
      </w:pPr>
      <w:r>
        <w:rPr>
          <w:b w:val="0"/>
        </w:rPr>
        <w:t xml:space="preserve">Finansije: </w:t>
      </w:r>
      <w:r>
        <w:rPr>
          <w:b w:val="0"/>
          <w:sz w:val="20"/>
        </w:rPr>
        <w:t>finansije/services/job_tables.py</w:t>
      </w:r>
      <w:r>
        <w:rPr>
          <w:b w:val="0"/>
        </w:rPr>
        <w:t xml:space="preserve"> koristi </w:t>
      </w:r>
      <w:r>
        <w:rPr>
          <w:b w:val="0"/>
          <w:sz w:val="20"/>
        </w:rPr>
        <w:t>naplata.queries.izvestaj_po_siframa_posla_data</w:t>
      </w:r>
      <w:r>
        <w:rPr>
          <w:b w:val="0"/>
        </w:rPr>
        <w:t>. Uvesti adapter sa istim povratnim ugovorom i istim obuhvatom prava dok ne pređe na novi servis.</w:t>
      </w:r>
    </w:p>
    <w:p>
      <w:pPr>
        <w:pStyle w:val="ListBullet"/>
      </w:pPr>
      <w:r>
        <w:rPr>
          <w:b w:val="0"/>
        </w:rPr>
        <w:t xml:space="preserve">Menice: izbor partnera čita SQL </w:t>
      </w:r>
      <w:r>
        <w:rPr>
          <w:b w:val="0"/>
          <w:sz w:val="20"/>
        </w:rPr>
        <w:t>partneri</w:t>
      </w:r>
      <w:r>
        <w:rPr>
          <w:b w:val="0"/>
        </w:rPr>
        <w:t>. View ostaje dok se taj modul posebno ne prebaci.</w:t>
      </w:r>
    </w:p>
    <w:p>
      <w:pPr>
        <w:pStyle w:val="ListBullet"/>
      </w:pPr>
      <w:r>
        <w:rPr>
          <w:b w:val="0"/>
        </w:rPr>
        <w:t>Ugovori: import postojećeg registra čita isti view. Ne menjati ga globalno zbog Naplate.</w:t>
      </w:r>
    </w:p>
    <w:p>
      <w:pPr>
        <w:pStyle w:val="ListBullet"/>
      </w:pPr>
      <w:r>
        <w:rPr>
          <w:b w:val="0"/>
        </w:rPr>
        <w:t xml:space="preserve">HR: evidencija aktivnosti korisnika uvozi </w:t>
      </w:r>
      <w:r>
        <w:rPr>
          <w:b w:val="0"/>
          <w:sz w:val="20"/>
        </w:rPr>
        <w:t>AvansKlijent</w:t>
      </w:r>
      <w:r>
        <w:rPr>
          <w:b w:val="0"/>
        </w:rPr>
        <w:t xml:space="preserve">, </w:t>
      </w:r>
      <w:r>
        <w:rPr>
          <w:b w:val="0"/>
          <w:sz w:val="20"/>
        </w:rPr>
        <w:t>Postupak</w:t>
      </w:r>
      <w:r>
        <w:rPr>
          <w:b w:val="0"/>
        </w:rPr>
        <w:t xml:space="preserve">, </w:t>
      </w:r>
      <w:r>
        <w:rPr>
          <w:b w:val="0"/>
          <w:sz w:val="20"/>
        </w:rPr>
        <w:t>PromenaPostupka</w:t>
      </w:r>
      <w:r>
        <w:rPr>
          <w:b w:val="0"/>
        </w:rPr>
        <w:t>. Zadržati postojeće modele dok se potrošači ne prebace; za novi spisak za proveru dati adapter.</w:t>
      </w:r>
    </w:p>
    <w:p>
      <w:pPr>
        <w:pStyle w:val="ListBullet"/>
      </w:pPr>
      <w:r>
        <w:rPr>
          <w:b w:val="0"/>
        </w:rPr>
        <w:t>Sidebar, dozvole, stari linkovi na partnera i Excel URL-ovi dobijaju mapiranje/rute za prelazak. Nije dovoljno samo zameniti naziv aplikacije u meniju.</w:t>
      </w:r>
    </w:p>
    <w:p>
      <w:pPr>
        <w:pStyle w:val="Heading1"/>
      </w:pPr>
      <w:r>
        <w:rPr>
          <w:b w:val="0"/>
        </w:rPr>
        <w:t>9  Redosled realizacije i uslovi prelaska</w:t>
      </w:r>
    </w:p>
    <w:p>
      <w:pPr>
        <w:ind w:left="312" w:hanging="312"/>
      </w:pPr>
      <w:r>
        <w:rPr>
          <w:b w:val="0"/>
        </w:rPr>
        <w:t xml:space="preserve">1. </w:t>
      </w:r>
      <w:r>
        <w:rPr>
          <w:b/>
        </w:rPr>
        <w:t>Struktura i pravila:</w:t>
      </w:r>
      <w:r>
        <w:rPr>
          <w:b w:val="0"/>
        </w:rPr>
        <w:t xml:space="preserve"> novi modul, Django modeli/migracije, mapiranje finansijskih identiteta, šifarnici baketa, import mape i problemi. Potvrditi preostale granice obračuna.</w:t>
      </w:r>
    </w:p>
    <w:p>
      <w:pPr>
        <w:ind w:left="312" w:hanging="312"/>
      </w:pPr>
      <w:r>
        <w:rPr>
          <w:b w:val="0"/>
        </w:rPr>
        <w:t xml:space="preserve">2. </w:t>
      </w:r>
      <w:r>
        <w:rPr>
          <w:b/>
        </w:rPr>
        <w:t>Probni prenos:</w:t>
      </w:r>
      <w:r>
        <w:rPr>
          <w:b w:val="0"/>
        </w:rPr>
        <w:t xml:space="preserve"> stari ID-jevi i istorija, kontakti/aktivnosti/opomene, veze pravne službe. Komanda sa dry-run režimom, izveštajem i ponovljivošću; bez sečenja teksta i odbacivanja redova.</w:t>
      </w:r>
    </w:p>
    <w:p>
      <w:pPr>
        <w:ind w:left="312" w:hanging="312"/>
      </w:pPr>
      <w:r>
        <w:rPr>
          <w:b w:val="0"/>
        </w:rPr>
        <w:t xml:space="preserve">3. </w:t>
      </w:r>
      <w:r>
        <w:rPr>
          <w:b/>
        </w:rPr>
        <w:t>Sinhronizacija i obračun:</w:t>
      </w:r>
      <w:r>
        <w:rPr>
          <w:b w:val="0"/>
        </w:rPr>
        <w:t xml:space="preserve"> lokalni izvor, istorija dospeća, kontrolni zbirovi, verzije objave, SEF izvor, zakazivanje i ručno pokretanje. Rešiti svežinu prethodne godine i brisanja.</w:t>
      </w:r>
    </w:p>
    <w:p>
      <w:pPr>
        <w:ind w:left="312" w:hanging="312"/>
      </w:pPr>
      <w:r>
        <w:rPr>
          <w:b w:val="0"/>
        </w:rPr>
        <w:t xml:space="preserve">4. </w:t>
      </w:r>
      <w:r>
        <w:rPr>
          <w:b/>
        </w:rPr>
        <w:t>Novi UI samo za čitanje:</w:t>
      </w:r>
      <w:r>
        <w:rPr>
          <w:b w:val="0"/>
        </w:rPr>
        <w:t xml:space="preserve"> uporedni rad sa starim, iste filterske situacije i kontrole iznosa; posebno negativni saldi, isti brojevi faktura u više godina i nedostajuća dospeća.</w:t>
      </w:r>
    </w:p>
    <w:p>
      <w:pPr>
        <w:ind w:left="312" w:hanging="312"/>
      </w:pPr>
      <w:r>
        <w:rPr>
          <w:b w:val="0"/>
        </w:rPr>
        <w:t xml:space="preserve">5. </w:t>
      </w:r>
      <w:r>
        <w:rPr>
          <w:b/>
        </w:rPr>
        <w:t>Operativni UI:</w:t>
      </w:r>
      <w:r>
        <w:rPr>
          <w:b w:val="0"/>
        </w:rPr>
        <w:t xml:space="preserve"> unos kontakata/aktivnosti/opomena i povezivanje pravne službe. Za vreme paralelne provere samo stara aplikacija prihvata poslovni unos. Pri prelasku kratko zaustaviti upis, ponoviti završni prenos i kontrole, zatim omogućiti novu kao jedinog pisca.</w:t>
      </w:r>
    </w:p>
    <w:p>
      <w:pPr>
        <w:ind w:left="312" w:hanging="312"/>
      </w:pPr>
      <w:r>
        <w:rPr>
          <w:b w:val="0"/>
        </w:rPr>
        <w:t xml:space="preserve">6. </w:t>
      </w:r>
      <w:r>
        <w:rPr>
          <w:b/>
        </w:rPr>
        <w:t>Prelazak:</w:t>
      </w:r>
      <w:r>
        <w:rPr>
          <w:b w:val="0"/>
        </w:rPr>
        <w:t xml:space="preserve"> prebaci meni i adapter Finansija, obezbedi stare linkove; stara verzija ostaje za čitanje do potvrde. SQL view-ove ne brisati dok ih koriste Menice/Ugovori.</w:t>
      </w:r>
    </w:p>
    <w:p>
      <w:r>
        <w:rPr>
          <w:b w:val="0"/>
        </w:rPr>
        <w:t>Povratak pre novih upisa je vraćanje ruta na staru aplikaciju. Posle upisa u novu aplikaciju sam povratak menija nije dovoljan: potreban je pregled/prenos novih operativnih zapisa ili privremeno čitanje bez unosa. Plan povratka mora pokriti i podatke, ne samo kod.</w:t>
      </w:r>
    </w:p>
    <w:p>
      <w:r>
        <w:rPr>
          <w:b w:val="0"/>
        </w:rPr>
        <w:t>Kriterijumi prihvatanja: svi izvorni operativni redovi imaju import mapu ili sačuvan problem; finansijski D/P/saldo su usaglašeni po svim dimenzijama za isti obuhvat; ponovljeni sync ne duplira podatke; greška ne objavljuje polovinu rezultata; dospeća i baketi su objašnjivi; istorija pravnih postupaka sačuvana; direktni URL/AJAX/Excel poštuju obuhvat; stranice ne čitaju udaljene finansijske view-ove. Posebno testirati 29/30.04, 01.05, prestupnu godinu, POC, NULL dospeće, godine pre 2025, korekcije i prestanak otvorenog salda.</w:t>
      </w:r>
    </w:p>
    <w:p>
      <w:pPr>
        <w:pStyle w:val="Heading1"/>
      </w:pPr>
      <w:r>
        <w:rPr>
          <w:b w:val="0"/>
        </w:rPr>
        <w:t>10  Procena i otvorene odluke</w:t>
      </w:r>
    </w:p>
    <w:p>
      <w:r>
        <w:rPr>
          <w:b w:val="0"/>
        </w:rPr>
        <w:t>Tehnički je izvodljivo i ima smisla zbog brzine, odnosa među podacima i održavanja. Obim je srednje velik do velik: najveći posao je pouzdan prenos istorije i identiteta dokumenta, uz očuvanje postojećih obračuna; sam hero i tabele su manji deo.</w:t>
      </w:r>
    </w:p>
    <w:p>
      <w:r>
        <w:rPr>
          <w:b w:val="0"/>
        </w:rPr>
        <w:t>Otvoreno za realizaciju: kalendarska granica obračuna, tretman nepoznatog dospeća u sumama, potvrda firme/grupe nasleđenih redova, način osvežavanja prethodne godine i izvornih brisanja, pravila jednoznačnog vezivanja uplata/dokumenata i opseg istorijskih preseka. Potvrđene odluke o ispravkama i važnom kupcu navedene su na početku i ne traže ponovnu potvrdu.</w:t>
      </w:r>
    </w:p>
    <w:p>
      <w:r>
        <w:rPr>
          <w:b w:val="0"/>
        </w:rPr>
        <w:t xml:space="preserve">Struktura iz faze 1 je formirana. Sledeći korak je </w:t>
      </w:r>
      <w:r>
        <w:rPr>
          <w:b/>
        </w:rPr>
        <w:t>probni import sa izveštajem o mapiranju partnera i kvalitetu podataka</w:t>
      </w:r>
      <w:r>
        <w:rPr>
          <w:b w:val="0"/>
        </w:rPr>
        <w:t>, bez preusmeravanja postojeće Naplate. Tek kada podaci prođu kontrole, graditi kompletan UI na tom stabilnom izvoru.</w:t>
      </w:r>
    </w:p>
    <w:p>
      <w:pPr>
        <w:pStyle w:val="Heading1"/>
      </w:pPr>
      <w:r>
        <w:rPr>
          <w:b w:val="0"/>
        </w:rPr>
        <w:t>11  Formirana početna struktura</w:t>
      </w:r>
    </w:p>
    <w:p>
      <w:pPr>
        <w:keepNext/>
      </w:pPr>
      <w:r>
        <w:rPr>
          <w:b w:val="0"/>
        </w:rPr>
        <w:t xml:space="preserve">U aplikaciji </w:t>
      </w:r>
      <w:r>
        <w:rPr>
          <w:b w:val="0"/>
          <w:sz w:val="20"/>
        </w:rPr>
        <w:t>potrazivanja</w:t>
      </w:r>
      <w:r>
        <w:rPr>
          <w:b w:val="0"/>
        </w:rPr>
        <w:t xml:space="preserve"> definisano je 19 tabela sa sopstvenim prefiksom. Migracija </w:t>
      </w:r>
      <w:r>
        <w:rPr>
          <w:b w:val="0"/>
          <w:sz w:val="20"/>
        </w:rPr>
        <w:t>0001_initial</w:t>
      </w:r>
      <w:r>
        <w:rPr>
          <w:b w:val="0"/>
        </w:rPr>
        <w:t xml:space="preserve"> kreira strukturu, indekse i ograničenja; </w:t>
      </w:r>
      <w:r>
        <w:rPr>
          <w:b w:val="0"/>
          <w:sz w:val="20"/>
        </w:rPr>
        <w:t>0002_initial_aging_rules</w:t>
      </w:r>
      <w:r>
        <w:rPr>
          <w:b w:val="0"/>
        </w:rPr>
        <w:t xml:space="preserve"> dodaje sedam postojećih starosnih razreda. Podela modela: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968"/>
      </w:tblGrid>
      <w:tr>
        <w:trPr>
          <w:cantSplit/>
          <w:tblHeader/>
        </w:trPr>
        <w:tc>
          <w:tcPr>
            <w:tcW w:type="dxa" w:w="3005"/>
            <w:vAlign w:val="center"/>
            <w:shd w:fill="17384F"/>
            <w:tcMar>
              <w:top w:w="90" w:type="dxa"/>
              <w:bottom w:w="90" w:type="dxa"/>
              <w:left w:w="115" w:type="dxa"/>
              <w:right w:w="115" w:type="dxa"/>
            </w:tcMar>
          </w:tcPr>
          <w:p>
            <w:pPr>
              <w:spacing w:after="0" w:line="250" w:lineRule="auto"/>
            </w:pPr>
            <w:r>
              <w:rPr>
                <w:b/>
                <w:color w:val="FFFFFF"/>
                <w:sz w:val="19"/>
              </w:rPr>
              <w:t>Oblast</w:t>
            </w:r>
          </w:p>
        </w:tc>
        <w:tc>
          <w:tcPr>
            <w:tcW w:type="dxa" w:w="6968"/>
            <w:vAlign w:val="center"/>
            <w:shd w:fill="17384F"/>
            <w:tcMar>
              <w:top w:w="90" w:type="dxa"/>
              <w:bottom w:w="90" w:type="dxa"/>
              <w:left w:w="115" w:type="dxa"/>
              <w:right w:w="115" w:type="dxa"/>
            </w:tcMar>
          </w:tcPr>
          <w:p>
            <w:pPr>
              <w:spacing w:after="0" w:line="250" w:lineRule="auto"/>
            </w:pPr>
            <w:r>
              <w:rPr>
                <w:b/>
                <w:color w:val="FFFFFF"/>
                <w:sz w:val="19"/>
              </w:rPr>
              <w:t>Modeli</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Partner i oznake</w:t>
            </w:r>
          </w:p>
        </w:tc>
        <w:tc>
          <w:tcPr>
            <w:tcW w:type="dxa" w:w="6968"/>
            <w:vAlign w:val="center"/>
            <w:shd w:fill="F1F5F7"/>
            <w:tcMar>
              <w:top w:w="90" w:type="dxa"/>
              <w:bottom w:w="90" w:type="dxa"/>
              <w:left w:w="115" w:type="dxa"/>
              <w:right w:w="115" w:type="dxa"/>
            </w:tcMar>
          </w:tcPr>
          <w:p>
            <w:pPr>
              <w:spacing w:after="0" w:line="250" w:lineRule="auto"/>
            </w:pPr>
            <w:r>
              <w:rPr>
                <w:b w:val="0"/>
                <w:sz w:val="19"/>
              </w:rPr>
              <w:t>FinancePartnerIdentity, CollectionProfile</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Dokumenti i knjiženja</w:t>
            </w:r>
          </w:p>
        </w:tc>
        <w:tc>
          <w:tcPr>
            <w:tcW w:type="dxa" w:w="6968"/>
            <w:vAlign w:val="center"/>
            <w:shd w:fill="FFFFFF"/>
            <w:tcMar>
              <w:top w:w="90" w:type="dxa"/>
              <w:bottom w:w="90" w:type="dxa"/>
              <w:left w:w="115" w:type="dxa"/>
              <w:right w:w="115" w:type="dxa"/>
            </w:tcMar>
          </w:tcPr>
          <w:p>
            <w:pPr>
              <w:spacing w:after="0" w:line="250" w:lineRule="auto"/>
            </w:pPr>
            <w:r>
              <w:rPr>
                <w:b w:val="0"/>
                <w:sz w:val="19"/>
              </w:rPr>
              <w:t>InvoiceDocument, ReceivablePosting, DueDateEvidence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Stanja za prikaz</w:t>
            </w:r>
          </w:p>
        </w:tc>
        <w:tc>
          <w:tcPr>
            <w:tcW w:type="dxa" w:w="6968"/>
            <w:vAlign w:val="center"/>
            <w:shd w:fill="F1F5F7"/>
            <w:tcMar>
              <w:top w:w="90" w:type="dxa"/>
              <w:bottom w:w="90" w:type="dxa"/>
              <w:left w:w="115" w:type="dxa"/>
              <w:right w:w="115" w:type="dxa"/>
            </w:tcMar>
          </w:tcPr>
          <w:p>
            <w:pPr>
              <w:spacing w:after="0" w:line="250" w:lineRule="auto"/>
            </w:pPr>
            <w:r>
              <w:rPr>
                <w:b w:val="0"/>
                <w:sz w:val="19"/>
              </w:rPr>
              <w:t>BalanceSnapshot, CollectionState, ReceivablePosition</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Starosni razredi</w:t>
            </w:r>
          </w:p>
        </w:tc>
        <w:tc>
          <w:tcPr>
            <w:tcW w:type="dxa" w:w="6968"/>
            <w:vAlign w:val="center"/>
            <w:shd w:fill="FFFFFF"/>
            <w:tcMar>
              <w:top w:w="90" w:type="dxa"/>
              <w:bottom w:w="90" w:type="dxa"/>
              <w:left w:w="115" w:type="dxa"/>
              <w:right w:w="115" w:type="dxa"/>
            </w:tcMar>
          </w:tcPr>
          <w:p>
            <w:pPr>
              <w:spacing w:after="0" w:line="250" w:lineRule="auto"/>
            </w:pPr>
            <w:r>
              <w:rPr>
                <w:b w:val="0"/>
                <w:sz w:val="19"/>
              </w:rPr>
              <w:t>AgingRule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Operativni rad</w:t>
            </w:r>
          </w:p>
        </w:tc>
        <w:tc>
          <w:tcPr>
            <w:tcW w:type="dxa" w:w="6968"/>
            <w:vAlign w:val="center"/>
            <w:shd w:fill="F1F5F7"/>
            <w:tcMar>
              <w:top w:w="90" w:type="dxa"/>
              <w:bottom w:w="90" w:type="dxa"/>
              <w:left w:w="115" w:type="dxa"/>
              <w:right w:w="115" w:type="dxa"/>
            </w:tcMar>
          </w:tcPr>
          <w:p>
            <w:pPr>
              <w:spacing w:after="0" w:line="250" w:lineRule="auto"/>
            </w:pPr>
            <w:r>
              <w:rPr>
                <w:b w:val="0"/>
                <w:sz w:val="19"/>
              </w:rPr>
              <w:t>CollectionContact, CollectionActivity, CollectionNotice, CollectionNoticeItem</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SEF i pravni postupci</w:t>
            </w:r>
          </w:p>
        </w:tc>
        <w:tc>
          <w:tcPr>
            <w:tcW w:type="dxa" w:w="6968"/>
            <w:vAlign w:val="center"/>
            <w:shd w:fill="FFFFFF"/>
            <w:tcMar>
              <w:top w:w="90" w:type="dxa"/>
              <w:bottom w:w="90" w:type="dxa"/>
              <w:left w:w="115" w:type="dxa"/>
              <w:right w:w="115" w:type="dxa"/>
            </w:tcMar>
          </w:tcPr>
          <w:p>
            <w:pPr>
              <w:spacing w:after="0" w:line="250" w:lineRule="auto"/>
            </w:pPr>
            <w:r>
              <w:rPr>
                <w:b w:val="0"/>
                <w:sz w:val="19"/>
              </w:rPr>
              <w:t>ElectronicInvoiceStatus, LegalCaseLink</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Prenos i provere</w:t>
            </w:r>
          </w:p>
        </w:tc>
        <w:tc>
          <w:tcPr>
            <w:tcW w:type="dxa" w:w="6968"/>
            <w:vAlign w:val="center"/>
            <w:shd w:fill="F1F5F7"/>
            <w:tcMar>
              <w:top w:w="90" w:type="dxa"/>
              <w:bottom w:w="90" w:type="dxa"/>
              <w:left w:w="115" w:type="dxa"/>
              <w:right w:w="115" w:type="dxa"/>
            </w:tcMar>
          </w:tcPr>
          <w:p>
            <w:pPr>
              <w:spacing w:after="0" w:line="250" w:lineRule="auto"/>
            </w:pPr>
            <w:r>
              <w:rPr>
                <w:b w:val="0"/>
                <w:sz w:val="19"/>
              </w:rPr>
              <w:t>CollectionSyncRun, CollectionSyncStep, LegacyImportMap, ImportIssue</w:t>
            </w:r>
          </w:p>
        </w:tc>
      </w:tr>
    </w:tbl>
    <w:p>
      <w:pPr>
        <w:spacing w:after="40" w:before="0" w:line="60" w:lineRule="exact"/>
      </w:pPr>
    </w:p>
    <w:p>
      <w:r>
        <w:rPr>
          <w:b w:val="0"/>
        </w:rPr>
        <w:t xml:space="preserve">Veze koriste postojeći registar </w:t>
      </w:r>
      <w:r>
        <w:rPr>
          <w:b w:val="0"/>
          <w:sz w:val="20"/>
        </w:rPr>
        <w:t>ugovori.Partner</w:t>
      </w:r>
      <w:r>
        <w:rPr>
          <w:b w:val="0"/>
        </w:rPr>
        <w:t xml:space="preserve"> i postojeći </w:t>
      </w:r>
      <w:r>
        <w:rPr>
          <w:b w:val="0"/>
          <w:sz w:val="20"/>
        </w:rPr>
        <w:t>naplata.Postupak</w:t>
      </w:r>
      <w:r>
        <w:rPr>
          <w:b w:val="0"/>
        </w:rPr>
        <w:t>. Važan kupac je polje profila, a ne napomene. Nepovezani stari zapisi mogu se sačuvati sa originalnim podacima i izveštajem o problemu. Evidencija dospeća zadržava decimal(38,2) za istorijski iznos; redovni finansijski iznosi koriste decimal(18,2).</w:t>
      </w:r>
    </w:p>
    <w:p>
      <w:r>
        <w:rPr>
          <w:b w:val="0"/>
        </w:rPr>
        <w:t>U ovoj fazi SEF tabela čuva poslednji poznati status; posebna istorija promena statusa još nije uvedena. Pravna služba dobija pomoćnu vezu na postojeći postupak, bez menjanja njegovih polja. Ne postoji još import, sinhronizacija nove Naplate, servis objavljivanja stanja, novi UI niti preusmeravanje postojećih ekrana. To su naredne faze.</w:t>
      </w:r>
    </w:p>
    <w:p>
      <w:r>
        <w:rPr>
          <w:b w:val="0"/>
        </w:rPr>
        <w:t xml:space="preserve">Detalji ograničenja i načina budućeg upisa nalaze se u </w:t>
      </w:r>
      <w:r>
        <w:rPr>
          <w:b w:val="0"/>
          <w:sz w:val="20"/>
        </w:rPr>
        <w:t>potrazivanja/README.md</w:t>
      </w:r>
      <w:r>
        <w:rPr>
          <w:b w:val="0"/>
        </w:rPr>
        <w:t>.</w:t>
      </w:r>
    </w:p>
    <w:sectPr w:rsidR="00FC693F" w:rsidRPr="0006063C" w:rsidSect="00034616">
      <w:footerReference w:type="default" r:id="rId9"/>
      <w:pgSz w:w="12240" w:h="15840"/>
      <w:pgMar w:top="107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Naplata     </w:t>
    </w:r>
    <w:fldSimple w:instr="PAGE"/>
    <w:r>
      <w:rPr>
        <w:sz w:val="16"/>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Calibri" w:hAnsi="Calibri"/>
      <w:b w:val="0"/>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0" w:lineRule="auto"/>
      <w:contextualSpacing/>
    </w:pPr>
    <w:rPr>
      <w:rFonts w:ascii="Calibri" w:hAnsi="Calibri"/>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0" w:lineRule="auto"/>
      <w:contextualSpacing/>
    </w:pPr>
    <w:rPr>
      <w:rFonts w:ascii="Calibri" w:hAnsi="Calibri"/>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aplikacija Naplata</dc:title>
  <dc:subject>Plan razvoja i struktura podataka</dc:subject>
  <dc:creator>IMS</dc:creator>
  <cp:keywords>naplata, potraživanja, Django, migracija, sinhronizacija</cp:keywords>
  <dc:description>generated by python-docx</dc:description>
  <cp:lastModifiedBy/>
  <cp:revision>1</cp:revision>
  <dcterms:created xsi:type="dcterms:W3CDTF">2013-12-23T23:15:00Z</dcterms:created>
  <dcterms:modified xsi:type="dcterms:W3CDTF">2013-12-23T23:15:00Z</dcterms:modified>
  <cp:category/>
</cp:coreProperties>
</file>