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Presek stanja — kratak pregled</w:t>
      </w:r>
    </w:p>
    <w:p>
      <w:r>
        <w:t>10.09.2026. | Primedbe objedinjene u 11 tema</w:t>
      </w:r>
    </w:p>
    <w:p>
      <w:r>
        <w:t>Prikaz izvedenih promena i preostalih poslova. „Uklonjeno“ se odnosi na ekran ili pokazatelj; istorijski podaci nisu brisani.</w:t>
      </w:r>
    </w:p>
    <w:p>
      <w:pPr>
        <w:pStyle w:val="Heading1"/>
      </w:pPr>
      <w:r>
        <w:t>1. Vozilo, podaci i dokumenti</w:t>
      </w:r>
    </w:p>
    <w:p>
      <w:pPr>
        <w:keepLines/>
      </w:pPr>
      <w:r>
        <w:rPr>
          <w:b/>
        </w:rPr>
        <w:t xml:space="preserve">Rešeno: </w:t>
      </w:r>
      <w:r>
        <w:t>Pregled u pet tabova, vidljiva boja, izdvojena aktuelna saobraćajna i istorija dokumenata. Raspolaganje, OJ, ugovori i polise prikazani su kratkim listama. Ispravljena ponovna inicijalizacija DataTables.</w:t>
      </w:r>
    </w:p>
    <w:p>
      <w:pPr>
        <w:keepLines/>
      </w:pPr>
      <w:r>
        <w:rPr>
          <w:b/>
        </w:rPr>
        <w:t xml:space="preserve">Uklonjeno: </w:t>
      </w:r>
      <w:r>
        <w:t>Dugme za preuzimanje dokumentacije iz zaglavlja i suvišne tabele u kratkim evidencijama.</w:t>
      </w:r>
    </w:p>
    <w:p>
      <w:pPr>
        <w:keepLines/>
      </w:pPr>
      <w:r>
        <w:rPr>
          <w:b/>
        </w:rPr>
        <w:t xml:space="preserve">Ostaje: </w:t>
      </w:r>
      <w:r>
        <w:t>Za prijavljeni gubitak podatka potreban je konkretan primer vozila i polja; gubitak nije potvrđen.</w:t>
      </w:r>
    </w:p>
    <w:p>
      <w:pPr>
        <w:spacing w:after="40"/>
      </w:pPr>
      <w:r>
        <w:rPr>
          <w:color w:val="65717B"/>
          <w:sz w:val="16"/>
        </w:rPr>
        <w:t>Izvorne tačke: 2, 3, 4, 5, 11.</w:t>
      </w:r>
    </w:p>
    <w:p>
      <w:pPr>
        <w:pStyle w:val="Heading1"/>
      </w:pPr>
      <w:r>
        <w:t>2. Formiranje vozila i raspolaganje</w:t>
      </w:r>
    </w:p>
    <w:p>
      <w:pPr>
        <w:keepLines/>
      </w:pPr>
      <w:r>
        <w:rPr>
          <w:b/>
        </w:rPr>
        <w:t xml:space="preserve">Rešeno: </w:t>
      </w:r>
      <w:r>
        <w:t>Čarobnjak sa šest koraka i slikom na početku. Odvojeni vlasništvo, kredit i lizing/najam, uz istoriju raspolaganja. Bez evidentiranog tekućeg osnova i važećeg ugovora detalj prikazuje Vlasništvo IMS, po dogovoru.</w:t>
      </w:r>
    </w:p>
    <w:p>
      <w:pPr>
        <w:keepLines/>
      </w:pPr>
      <w:r>
        <w:rPr>
          <w:b/>
        </w:rPr>
        <w:t xml:space="preserve">Ostaje: </w:t>
      </w:r>
      <w:r>
        <w:t>Dopuna nedostajućih podataka starih vozila i ugovora.</w:t>
      </w:r>
    </w:p>
    <w:p>
      <w:pPr>
        <w:spacing w:after="40"/>
      </w:pPr>
      <w:r>
        <w:rPr>
          <w:color w:val="65717B"/>
          <w:sz w:val="16"/>
        </w:rPr>
        <w:t>Izvorne tačke: 6.</w:t>
      </w:r>
    </w:p>
    <w:p>
      <w:pPr>
        <w:pStyle w:val="Heading1"/>
      </w:pPr>
      <w:r>
        <w:t>3. Troškovi i ocena isplativosti</w:t>
      </w:r>
    </w:p>
    <w:p>
      <w:pPr>
        <w:keepLines/>
      </w:pPr>
      <w:r>
        <w:rPr>
          <w:b/>
        </w:rPr>
        <w:t xml:space="preserve">Rešeno: </w:t>
      </w:r>
      <w:r>
        <w:t>Troškovi na detalju imaju period; gorivo, održavanje i naknade osiguranja jasno su razdvojeni. Prazan mesec je označen crticom.</w:t>
      </w:r>
    </w:p>
    <w:p>
      <w:pPr>
        <w:keepLines/>
      </w:pPr>
      <w:r>
        <w:rPr>
          <w:b/>
        </w:rPr>
        <w:t xml:space="preserve">Uklonjeno: </w:t>
      </w:r>
      <w:r>
        <w:t>Nejasan odnos održavanja i vrednosti, oduzimanje popravki od vrednosti i automatska ocena isplativosti sa detalja. Uklonjena prečica Poslednjih 12 meseci.</w:t>
      </w:r>
    </w:p>
    <w:p>
      <w:pPr>
        <w:keepLines/>
      </w:pPr>
      <w:r>
        <w:rPr>
          <w:b/>
        </w:rPr>
        <w:t xml:space="preserve">Ostaje: </w:t>
      </w:r>
      <w:r>
        <w:t>Pregled formula na ostalim ekranima analitike i potvrda finansijske metodologije.</w:t>
      </w:r>
    </w:p>
    <w:p>
      <w:pPr>
        <w:spacing w:after="40"/>
      </w:pPr>
      <w:r>
        <w:rPr>
          <w:color w:val="65717B"/>
          <w:sz w:val="16"/>
        </w:rPr>
        <w:t>Izvorne tačke: 7, 8, 9, 10, 12.</w:t>
      </w:r>
    </w:p>
    <w:p>
      <w:pPr>
        <w:pStyle w:val="Heading1"/>
      </w:pPr>
      <w:r>
        <w:t>4. Radna vozila i smisleni pokazatelji</w:t>
      </w:r>
    </w:p>
    <w:p>
      <w:pPr>
        <w:keepLines/>
      </w:pPr>
      <w:r>
        <w:rPr>
          <w:b/>
        </w:rPr>
        <w:t xml:space="preserve">Plan: </w:t>
      </w:r>
      <w:r>
        <w:t>Dodati poslovnu namenu: transport, terenska podrška i radna jedinica, odvojeno od tehničke kategorije. Kamion sa garniturom i kombi sa alatom ne ocenjivati samo po kilometrima.</w:t>
      </w:r>
    </w:p>
    <w:p>
      <w:pPr>
        <w:keepLines/>
      </w:pPr>
      <w:r>
        <w:rPr>
          <w:b/>
        </w:rPr>
        <w:t xml:space="preserve">Odluka: </w:t>
      </w:r>
      <w:r>
        <w:t>Potvrditi grupe i izvor kilometraže/radnih sati. Planirane su evidencija namena i istorija dodele; posebnu opremu voditi tek ako ima sopstveni identitet i održavanje. Nije implementirano.</w:t>
      </w:r>
    </w:p>
    <w:p>
      <w:pPr>
        <w:spacing w:after="40"/>
      </w:pPr>
      <w:r>
        <w:rPr>
          <w:color w:val="65717B"/>
          <w:sz w:val="16"/>
        </w:rPr>
        <w:t>Izvorne tačke: 13, 32.</w:t>
      </w:r>
    </w:p>
    <w:p>
      <w:pPr>
        <w:pStyle w:val="Heading1"/>
      </w:pPr>
      <w:r>
        <w:t>5. Kontrolna tabla</w:t>
      </w:r>
    </w:p>
    <w:p>
      <w:pPr>
        <w:keepLines/>
      </w:pPr>
      <w:r>
        <w:rPr>
          <w:b/>
        </w:rPr>
        <w:t xml:space="preserve">Rešeno: </w:t>
      </w:r>
      <w:r>
        <w:t>Novo zaglavlje, brojači, sklopiva upozorenja i pregled centara. Obračun trenutnog rasporeda provereno odgovara bazi: 164 aktivna vozila u 9 centara.</w:t>
      </w:r>
    </w:p>
    <w:p>
      <w:pPr>
        <w:keepLines/>
      </w:pPr>
      <w:r>
        <w:rPr>
          <w:b/>
        </w:rPr>
        <w:t xml:space="preserve">Uklonjeno: </w:t>
      </w:r>
      <w:r>
        <w:t>Vozila u crvenoj zoni i nejasni zbirni pokazatelji sa table.</w:t>
      </w:r>
    </w:p>
    <w:p>
      <w:pPr>
        <w:keepLines/>
      </w:pPr>
      <w:r>
        <w:rPr>
          <w:b/>
        </w:rPr>
        <w:t xml:space="preserve">Ostaje: </w:t>
      </w:r>
      <w:r>
        <w:t>Poslovna potvrda potpunosti evidencije; ostala Analitika nije završena.</w:t>
      </w:r>
    </w:p>
    <w:p>
      <w:pPr>
        <w:spacing w:after="40"/>
      </w:pPr>
      <w:r>
        <w:rPr>
          <w:color w:val="65717B"/>
          <w:sz w:val="16"/>
        </w:rPr>
        <w:t>Izvorne tačke: 16.</w:t>
      </w:r>
    </w:p>
    <w:p>
      <w:r>
        <w:br w:type="page"/>
      </w:r>
    </w:p>
    <w:p>
      <w:pPr>
        <w:pStyle w:val="Heading1"/>
      </w:pPr>
      <w:r>
        <w:t>6. Meni i suvišni pregledi</w:t>
      </w:r>
    </w:p>
    <w:p>
      <w:pPr>
        <w:keepLines/>
      </w:pPr>
      <w:r>
        <w:rPr>
          <w:b/>
        </w:rPr>
        <w:t xml:space="preserve">Ostaje: </w:t>
      </w:r>
      <w:r>
        <w:t>Objediniti tražene preglede pod Izveštaje. Zatvorene naloge pratiti kroz Putne naloge, a poseban DDOR pregled ukloniti kada se odredi gde se naknade dalje prate.</w:t>
      </w:r>
    </w:p>
    <w:p>
      <w:pPr>
        <w:keepLines/>
      </w:pPr>
      <w:r>
        <w:rPr>
          <w:b/>
        </w:rPr>
        <w:t xml:space="preserve">Status: </w:t>
      </w:r>
      <w:r>
        <w:t>Ova uklanjanja i kompletna reorganizacija menija još nisu sprovedeni.</w:t>
      </w:r>
    </w:p>
    <w:p>
      <w:pPr>
        <w:spacing w:after="40"/>
      </w:pPr>
      <w:r>
        <w:rPr>
          <w:color w:val="65717B"/>
          <w:sz w:val="16"/>
        </w:rPr>
        <w:t>Izvorne tačke: 1, 14, 15, 18, 25.</w:t>
      </w:r>
    </w:p>
    <w:p>
      <w:pPr>
        <w:pStyle w:val="Heading1"/>
      </w:pPr>
      <w:r>
        <w:t>7. Garaža i održavanje</w:t>
      </w:r>
    </w:p>
    <w:p>
      <w:pPr>
        <w:keepLines/>
      </w:pPr>
      <w:r>
        <w:rPr>
          <w:b/>
        </w:rPr>
        <w:t xml:space="preserve">Već postoji: </w:t>
      </w:r>
      <w:r>
        <w:t>Prijava kvara, mali/veliki servis i popravka, trebovanja i veza sa intervencijom. Na detalju je naziv Spoljne usluge i delovi.</w:t>
      </w:r>
    </w:p>
    <w:p>
      <w:pPr>
        <w:keepLines/>
      </w:pPr>
      <w:r>
        <w:rPr>
          <w:b/>
        </w:rPr>
        <w:t xml:space="preserve">Ostaje: </w:t>
      </w:r>
      <w:r>
        <w:t>Dogovoriti odgovorne osobe, tok rada i povezivanje APL trebovanja. Precizirati redovno/vanredno održavanje i uskladiti naziv zbirnog izveštaja.</w:t>
      </w:r>
    </w:p>
    <w:p>
      <w:pPr>
        <w:spacing w:after="40"/>
      </w:pPr>
      <w:r>
        <w:rPr>
          <w:color w:val="65717B"/>
          <w:sz w:val="16"/>
        </w:rPr>
        <w:t>Izvorne tačke: 17, 19, 20.</w:t>
      </w:r>
    </w:p>
    <w:p>
      <w:pPr>
        <w:pStyle w:val="Heading1"/>
      </w:pPr>
      <w:r>
        <w:t>8. Fakture i povezivanje sa vozilom</w:t>
      </w:r>
    </w:p>
    <w:p>
      <w:pPr>
        <w:keepLines/>
      </w:pPr>
      <w:r>
        <w:rPr>
          <w:b/>
        </w:rPr>
        <w:t xml:space="preserve">Već postoji: </w:t>
      </w:r>
      <w:r>
        <w:t>Faktura može direktno da se poveže sa garažom i jednim vozilom, i bez zahteva.</w:t>
      </w:r>
    </w:p>
    <w:p>
      <w:pPr>
        <w:keepLines/>
      </w:pPr>
      <w:r>
        <w:rPr>
          <w:b/>
        </w:rPr>
        <w:t xml:space="preserve">Ostaje: </w:t>
      </w:r>
      <w:r>
        <w:t>Odrediti ko dopunjava nepovezane fakture, istorijsku OJ i raspodelu fakture za više vozila. Istu nabavku i kasnije trebovanje ne računati dvaput kao trošak vozila.</w:t>
      </w:r>
    </w:p>
    <w:p>
      <w:pPr>
        <w:spacing w:after="40"/>
      </w:pPr>
      <w:r>
        <w:rPr>
          <w:color w:val="65717B"/>
          <w:sz w:val="16"/>
        </w:rPr>
        <w:t>Izvorne tačke: 21, 33.</w:t>
      </w:r>
    </w:p>
    <w:p>
      <w:pPr>
        <w:pStyle w:val="Heading1"/>
      </w:pPr>
      <w:r>
        <w:t>9. Gorivo i finansije</w:t>
      </w:r>
    </w:p>
    <w:p>
      <w:pPr>
        <w:keepLines/>
      </w:pPr>
      <w:r>
        <w:rPr>
          <w:b/>
        </w:rPr>
        <w:t xml:space="preserve">Već postoji: </w:t>
      </w:r>
      <w:r>
        <w:t>NIS/OMV evidencija, uvoz u FuelConsumption i istorijsko vezivanje šifre posla prema datumu transakcije u izveštajima.</w:t>
      </w:r>
    </w:p>
    <w:p>
      <w:pPr>
        <w:keepLines/>
      </w:pPr>
      <w:r>
        <w:rPr>
          <w:b/>
        </w:rPr>
        <w:t xml:space="preserve">Ostaje: </w:t>
      </w:r>
      <w:r>
        <w:t>Usaglasiti iznose sa zadatim SQL pregledima, proveriti potpunost FuelConsumption i potvrditi obračun sa Veselinkom pre knjiženja. Novi prikaz na detalju nije potvrda finansijskog usaglašavanja.</w:t>
      </w:r>
    </w:p>
    <w:p>
      <w:pPr>
        <w:spacing w:after="40"/>
      </w:pPr>
      <w:r>
        <w:rPr>
          <w:color w:val="65717B"/>
          <w:sz w:val="16"/>
        </w:rPr>
        <w:t>Izvorne tačke: 27, 30, 31.</w:t>
      </w:r>
    </w:p>
    <w:p>
      <w:pPr>
        <w:pStyle w:val="Heading1"/>
      </w:pPr>
      <w:r>
        <w:t>10. Izveštaji za osiguranje</w:t>
      </w:r>
    </w:p>
    <w:p>
      <w:pPr>
        <w:keepLines/>
      </w:pPr>
      <w:r>
        <w:rPr>
          <w:b/>
        </w:rPr>
        <w:t xml:space="preserve">Ostaje: </w:t>
      </w:r>
      <w:r>
        <w:t>Napraviti pregled vlasničkih vozila i izbor za kasko.</w:t>
      </w:r>
    </w:p>
    <w:p>
      <w:pPr>
        <w:keepLines/>
      </w:pPr>
      <w:r>
        <w:rPr>
          <w:b/>
        </w:rPr>
        <w:t xml:space="preserve">Odluka: </w:t>
      </w:r>
      <w:r>
        <w:t>Definisati prag i vrstu vrednosti, da li uslovi starosti i vrednosti važe zajedno, kao i obuhvat vlasništva za zvaničan izvoz. Izveštaji još nisu izrađeni.</w:t>
      </w:r>
    </w:p>
    <w:p>
      <w:pPr>
        <w:spacing w:after="40"/>
      </w:pPr>
      <w:r>
        <w:rPr>
          <w:color w:val="65717B"/>
          <w:sz w:val="16"/>
        </w:rPr>
        <w:t>Izvorne tačke: 22, 23.</w:t>
      </w:r>
    </w:p>
    <w:p>
      <w:pPr>
        <w:pStyle w:val="Heading1"/>
      </w:pPr>
      <w:r>
        <w:t>11. Ostali izveštaji</w:t>
      </w:r>
    </w:p>
    <w:p>
      <w:pPr>
        <w:keepLines/>
      </w:pPr>
      <w:r>
        <w:rPr>
          <w:b/>
        </w:rPr>
        <w:t xml:space="preserve">Ostaje: </w:t>
      </w:r>
      <w:r>
        <w:t>AutoDeki — pregled kupljenih delova; praćenje vozila — specifikacija e-fakture i stvarni broj vozila; troškovi po kontima/centrima — ispravka decimalnog prikaza i izvoza; dobavljači — period, zbir po pravnom licu i pokrivenost ugovorima.</w:t>
      </w:r>
    </w:p>
    <w:p>
      <w:pPr>
        <w:keepLines/>
      </w:pPr>
      <w:r>
        <w:rPr>
          <w:b/>
        </w:rPr>
        <w:t xml:space="preserve">Status: </w:t>
      </w:r>
      <w:r>
        <w:t>Navedene dorade nisu završene. To su zahtevi za izveštavanje, ne razlog za promenu celog modela vozila.</w:t>
      </w:r>
    </w:p>
    <w:p>
      <w:pPr>
        <w:spacing w:after="40"/>
      </w:pPr>
      <w:r>
        <w:rPr>
          <w:color w:val="65717B"/>
          <w:sz w:val="16"/>
        </w:rPr>
        <w:t>Izvorne tačke: 24, 26, 28, 29.</w:t>
      </w:r>
    </w:p>
    <w:sectPr w:rsidR="00FC693F" w:rsidRPr="0006063C" w:rsidSect="00034616">
      <w:footerReference w:type="default" r:id="rId9"/>
      <w:pgSz w:w="11906" w:h="16838"/>
      <w:pgMar w:top="907" w:right="1020" w:bottom="907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5717B"/>
        <w:sz w:val="16"/>
      </w:rPr>
      <w:t xml:space="preserve">IMS flota • Kratak presek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93C55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color w:val="193C55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Presek stanja — kratak pregled</dc:title>
  <dc:subject>Objedinjene primedbe: rešeno, uklonjeno i otvoreno</dc:subject>
  <dc:creator>IMS flota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