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Analiza je zasnovana na sadašnjem izvornom kodu. Ne potvrđuje stanje aplikacije na dan 22. 07. 2026, potpunost produkcione baze niti tačnost pojedinačnih finansijskih iznosa. Navedene dorade predstavljaju predloge; ovom analizom nisu menjani aplikacija ni podaci.</w:t>
      </w:r>
    </w:p>
    <w:p>
      <w:r>
        <w:t>Opšta ocena: aplikacija ima upotrebljivu tehničku osnovu, a deo zahteva već je podržan. Promene rasporeda i naziva treba odvojiti od provere obračuna. Najvažnije dorade odnose se na jasno označavanje perioda, potvrdu metodologije pokazatelja, usaglašavanje izvora goriva i definisanje odgovornosti u procesu rada.</w:t>
      </w:r>
    </w:p>
    <w:p>
      <w:pPr>
        <w:pStyle w:val="Heading1"/>
      </w:pPr>
      <w:r>
        <w:t>Prvobitni odgovori zasnovani su na izvornom kodu pregledanom 10.09.2026. Ispod svake tačke dodat je status nakon realizacije, a na kraju dokumenta detaljan presek izvedenih promena. Prvobitni odgovori koji opisuju stari prikaz čuvaju se kao istorija analize; za trenutno ponašanje merodavni su status realizacije i završna dopuna. Originalni presek od 22.07.2026. ostaje neizmenjen. Provere migracije ne predstavljaju finansijsko usaglašavanje svih iznosa.</w:t>
      </w:r>
    </w:p>
    <w:p>
      <w:pPr>
        <w:keepNext/>
      </w:pPr>
      <w:r>
        <w:t>Primedba iz preseka: Potoršnja, Popravke van IMS i Popravke u IMS idu u Izveštaje</w:t>
      </w:r>
    </w:p>
    <w:p>
      <w:pPr>
        <w:keepNext/>
      </w:pPr>
      <w:r>
        <w:rPr>
          <w:b/>
        </w:rPr>
        <w:t xml:space="preserve">Ocena: </w:t>
      </w:r>
      <w:r>
        <w:t>UI i navigacija</w:t>
      </w:r>
    </w:p>
    <w:p>
      <w:r>
        <w:rPr>
          <w:b/>
        </w:rPr>
        <w:t xml:space="preserve">Odgovor: </w:t>
      </w:r>
      <w:r>
        <w:t>Premeštanje ovih stavki u Izveštaje predstavlja promenu organizacije menija, a ne ispravku obračuna ili podataka. Postojeći raspored ima logiku jer omogućava neposredan pristup pojedinačnim evidencijama. Predlog je prihvatljiv radi jednostavnijeg rada, uz očuvanje pristupa detaljima i funkcijama ažuriranja gde postoje.</w:t>
      </w:r>
    </w:p>
    <w:p>
      <w:r>
        <w:rPr>
          <w:b/>
        </w:rPr>
        <w:t xml:space="preserve">Status 10.09.2026: </w:t>
      </w:r>
      <w:r>
        <w:t>Otvoreno — reorganizacija glavnog menija i izveštaja nije realizovana u ovoj iteraciji. Promenjen je naziv ulaza u spisak vozila; detalj je reorganizovan zasebno.</w:t>
      </w:r>
    </w:p>
    <w:p>
      <w:pPr>
        <w:pStyle w:val="Heading1"/>
      </w:pPr>
      <w:r>
        <w:t>Tačka 2</w:t>
      </w:r>
    </w:p>
    <w:p>
      <w:pPr>
        <w:keepNext/>
      </w:pPr>
      <w:r>
        <w:t>Primedba iz preseka: Podatke po vozilu bi trebalo presložiti jer nije baš najbolje rešenje</w:t>
      </w:r>
    </w:p>
    <w:p>
      <w:pPr>
        <w:keepNext/>
      </w:pPr>
      <w:r>
        <w:rPr>
          <w:b/>
        </w:rPr>
        <w:t xml:space="preserve">Ocena: </w:t>
      </w:r>
      <w:r>
        <w:t>UI i preglednost</w:t>
      </w:r>
    </w:p>
    <w:p>
      <w:r>
        <w:rPr>
          <w:b/>
        </w:rPr>
        <w:t xml:space="preserve">Odgovor: </w:t>
      </w:r>
      <w:r>
        <w:t>Kartica vozila opravdano objedinjuje tehničke podatke, dokumentaciju, troškove, zaduženja i analitiku. Primedba se odnosi na preglednost i redosled informacija. Predlaže se podela na jasno označene celine ili tabove: osnovni podaci, dokumentacija, korišćenje, troškovi i analitika. Nije potrebno menjati model podataka samo zbog drugačijeg rasporeda prikaza.</w:t>
      </w:r>
    </w:p>
    <w:p>
      <w:r>
        <w:rPr>
          <w:b/>
        </w:rPr>
        <w:t xml:space="preserve">Status 10.09.2026: </w:t>
      </w:r>
      <w:r>
        <w:t>Realizovano — detalj sada ima pet kartica: Podaci, Raspolaganje i polise, Troškovi, Korišćenje i Dokumenti. Operativno stanje je iznad kartica.</w:t>
      </w:r>
    </w:p>
    <w:p>
      <w:pPr>
        <w:pStyle w:val="Heading1"/>
      </w:pPr>
      <w:r>
        <w:t>Tačka 3</w:t>
      </w:r>
    </w:p>
    <w:p>
      <w:pPr>
        <w:keepNext/>
      </w:pPr>
      <w:r>
        <w:t>Primedba iz preseka: Izubili samo podatke iz saobracajne koji se unose</w:t>
      </w:r>
    </w:p>
    <w:p>
      <w:pPr>
        <w:keepNext/>
      </w:pPr>
      <w:r>
        <w:rPr>
          <w:b/>
        </w:rPr>
        <w:t xml:space="preserve">Ocena: </w:t>
      </w:r>
      <w:r>
        <w:t>Podaci i prikaz — gubitak nije potvrđen</w:t>
      </w:r>
    </w:p>
    <w:p>
      <w:r>
        <w:rPr>
          <w:b/>
        </w:rPr>
        <w:t xml:space="preserve">Odgovor: </w:t>
      </w:r>
      <w:r>
        <w:t>U sadašnjem kodu postoje i tehnički podaci vozila i podaci saobraćajne dozvole. Nevidljivost podatka na određenom ekranu ne dokazuje njegovo brisanje. Za proveru stvarnog gubitka potrebno je navesti konkretno vozilo i nedostajuće polje. Ako vrednost postoji u evidenciji, potrebna je dopuna prikaza; ako nedostaje, proveravaju se unos i uvoz podataka.</w:t>
      </w:r>
    </w:p>
    <w:p>
      <w:r>
        <w:rPr>
          <w:b/>
        </w:rPr>
        <w:t xml:space="preserve">Status 10.09.2026: </w:t>
      </w:r>
      <w:r>
        <w:t>Delimično — podaci vozila i istorija dokumenata jasno su razdvojeni i dostupni. Posle migracije poređene su sve stare vrednosti u 172 vozila, 172 saobraćajne i 23 lizing ugovora: očuvane su. Navodni raniji gubitak zahteva konkretno vozilo i polje.</w:t>
      </w:r>
    </w:p>
    <w:p>
      <w:pPr>
        <w:pStyle w:val="Heading1"/>
      </w:pPr>
      <w:r>
        <w:t>Tačka 4</w:t>
      </w:r>
    </w:p>
    <w:p>
      <w:pPr>
        <w:keepNext/>
      </w:pPr>
      <w:r>
        <w:t>Primedba iz preseka: Na primer nigde ne postoji boja vozila</w:t>
      </w:r>
    </w:p>
    <w:p>
      <w:pPr>
        <w:keepNext/>
      </w:pPr>
      <w:r>
        <w:rPr>
          <w:b/>
        </w:rPr>
        <w:t xml:space="preserve">Ocena: </w:t>
      </w:r>
      <w:r>
        <w:t>UI — polje već postoji</w:t>
      </w:r>
    </w:p>
    <w:p>
      <w:r>
        <w:rPr>
          <w:b/>
        </w:rPr>
        <w:t xml:space="preserve">Odgovor: </w:t>
      </w:r>
      <w:r>
        <w:t>Polje color, sa nazivom „Boja“, postoji u modelu vozila, a forma za vozilo uključuje sva polja modela. Boja nije prikazana na pregledanoj kartici vozila. Aplikacija je, dakle, predvidela ovaj podatak; potrebno je učiniti ga vidljivim na mestu na kojem ga korisnik očekuje. Postojanje polja ne potvrđuje da je vrednost popunjena za svako vozilo.</w:t>
      </w:r>
    </w:p>
    <w:p>
      <w:r>
        <w:rPr>
          <w:b/>
        </w:rPr>
        <w:t xml:space="preserve">Status 10.09.2026: </w:t>
      </w:r>
      <w:r>
        <w:t>Realizovano — boja se unosi u čarobnjaku i prikazuje u identitetu vozila.</w:t>
      </w:r>
    </w:p>
    <w:p>
      <w:pPr>
        <w:pStyle w:val="Heading1"/>
      </w:pPr>
      <w:r>
        <w:t>Tačka 5</w:t>
      </w:r>
    </w:p>
    <w:p>
      <w:pPr>
        <w:keepNext/>
      </w:pPr>
      <w:r>
        <w:t>Primedba iz preseka: Svi podaci iz saobracajne bi trebalo da budu na jendom mestu</w:t>
      </w:r>
    </w:p>
    <w:p>
      <w:pPr>
        <w:keepNext/>
      </w:pPr>
      <w:r>
        <w:rPr>
          <w:b/>
        </w:rPr>
        <w:t xml:space="preserve">Ocena: </w:t>
      </w:r>
      <w:r>
        <w:t>UI uz opravdanu strukturu podataka</w:t>
      </w:r>
    </w:p>
    <w:p>
      <w:r>
        <w:rPr>
          <w:b/>
        </w:rPr>
        <w:t xml:space="preserve">Odgovor: </w:t>
      </w:r>
      <w:r>
        <w:t>Zahtev je opravdan na nivou korisničkog prikaza. Tehnički je ispravno da vozilo i saobraćajna dozvola budu odvojeni zapisi, jer identitet vozila ostaje, a dokumenti se menjaju. Podaci se mogu prikazati zajedno na kartici vozila, uz označavanje aktuelne dozvole, bez spajanja tabela i dupliranja unosa.</w:t>
      </w:r>
    </w:p>
    <w:p>
      <w:r>
        <w:rPr>
          <w:b/>
        </w:rPr>
        <w:t xml:space="preserve">Status 10.09.2026: </w:t>
      </w:r>
      <w:r>
        <w:t>Realizovano u okviru dosijea — tehničke karakteristike pripadaju vozilu, a broj i rokovi dokumenta dokumentu. Kartice Podaci i Dokumenti drže oba skupa u jednom dosijeu bez dupliranja identiteta.</w:t>
      </w:r>
    </w:p>
    <w:p>
      <w:pPr>
        <w:pStyle w:val="Heading1"/>
      </w:pPr>
      <w:r>
        <w:t>Tačka 6</w:t>
      </w:r>
    </w:p>
    <w:p>
      <w:pPr>
        <w:keepNext/>
      </w:pPr>
      <w:r>
        <w:t>Primedba iz preseka: U okviru Matičenja vozila bi trebalo da se dodeljuje oznaka da li je vozio kupljeno na lizing, kredit ili dugoročni najam</w:t>
      </w:r>
    </w:p>
    <w:p>
      <w:pPr>
        <w:keepNext/>
      </w:pPr>
      <w:r>
        <w:rPr>
          <w:b/>
        </w:rPr>
        <w:t xml:space="preserve">Ocena: </w:t>
      </w:r>
      <w:r>
        <w:t>Poslovni model — delimično pokriveno</w:t>
      </w:r>
    </w:p>
    <w:p>
      <w:r>
        <w:rPr>
          <w:b/>
        </w:rPr>
        <w:t xml:space="preserve">Odgovor: </w:t>
      </w:r>
      <w:r>
        <w:t>Postoji evidencija finansijskog lizinga, operativnog lizinga i dugoročnog najma povezana sa vozilom. Kredit nije posebna vrsta u pregledanom modelu lizinga. Potrebno je razlikovati vlasništvo, način finansiranja i osnov korišćenja: vozilo kupljeno na kredit može biti u vlasništvu IMS. Na matičenju treba omogućiti jasan izbor i povezivanje odgovarajućeg ugovora, uz njegovo trajanje.</w:t>
      </w:r>
    </w:p>
    <w:p>
      <w:r>
        <w:rPr>
          <w:b/>
        </w:rPr>
        <w:t xml:space="preserve">Status 10.09.2026: </w:t>
      </w:r>
      <w:r>
        <w:t>Realizovano — šest koraka unosa uključuje osnov raspolaganja i finansiranje. Vlasništvo, kredit i lizing/najam nisu ista kategorija. Uvedena je istorija osnova raspolaganja.</w:t>
      </w:r>
    </w:p>
    <w:p>
      <w:pPr>
        <w:pStyle w:val="Heading1"/>
      </w:pPr>
      <w:r>
        <w:t>Tačka 7</w:t>
      </w:r>
    </w:p>
    <w:p>
      <w:pPr>
        <w:keepNext/>
      </w:pPr>
      <w:r>
        <w:t>Primedba iz preseka: Podatka o neto održavanju po svakom od vozila,  nije dobar jer se ne vezuje za period,a ko se vezuje mora da piše za koji</w:t>
      </w:r>
    </w:p>
    <w:p>
      <w:pPr>
        <w:keepNext/>
      </w:pPr>
      <w:r>
        <w:rPr>
          <w:b/>
        </w:rPr>
        <w:t xml:space="preserve">Ocena: </w:t>
      </w:r>
      <w:r>
        <w:t>Period i značenje pokazatelja</w:t>
      </w:r>
    </w:p>
    <w:p>
      <w:r>
        <w:rPr>
          <w:b/>
        </w:rPr>
        <w:t xml:space="preserve">Odgovor: </w:t>
      </w:r>
      <w:r>
        <w:t>Na kartici se trenutno sabiraju svi dostupni troškovi spoljnih servisa i IMS trebovanja, pa oduzimaju naknade osiguranja. Kumulativni pokazatelj ima smisla, ali mora da navede obuhvat i raspon datuma. Treba omogućiti izbor perioda. Naziv „neto održavanje“ ovde znači umanjenje za naknade osiguranja i može se pogrešno razumeti kao iznos bez PDV-a, pa je potrebno jasnije objašnjenje.</w:t>
      </w:r>
    </w:p>
    <w:p>
      <w:r>
        <w:rPr>
          <w:b/>
        </w:rPr>
        <w:t xml:space="preserve">Status 10.09.2026: </w:t>
      </w:r>
      <w:r>
        <w:t>Realizovano na detalju — održavanje ima izabrani period i odvojene izvore. Naknade osiguranja su zasebne, jer mogu biti vezane za raniju štetu.</w:t>
      </w:r>
    </w:p>
    <w:p>
      <w:pPr>
        <w:pStyle w:val="Heading1"/>
      </w:pPr>
      <w:r>
        <w:t>Tačka 8</w:t>
      </w:r>
    </w:p>
    <w:p>
      <w:pPr>
        <w:keepNext/>
      </w:pPr>
      <w: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r>
        <w:rPr>
          <w:b/>
        </w:rPr>
        <w:t xml:space="preserve">Odgovor: </w:t>
      </w:r>
      <w:r>
        <w:t>Odnos troškova održavanja i vrednosti može biti signal za dodatnu analizu, ali sam ne dokazuje opravdanost zamene vozila. Kod koristi knjigovodstvenu vrednost, a ako je prazna ili nula prelazi na nabavnu, čime se menja osnova poređenja. To treba preispitati i jasno prikazati. Knjigovodstvena, nabavna i tržišna vrednost nisu zamenljive; tržišna vrednost nije deo ovog obračuna. Potrebni su definisan period i dosledna osnovica.</w:t>
      </w:r>
    </w:p>
    <w:p>
      <w:r>
        <w:rPr>
          <w:b/>
        </w:rPr>
        <w:t xml:space="preserve">Status 10.09.2026: </w:t>
      </w:r>
      <w:r>
        <w:t>Realizovano na detalju — uklonjen je nejasan odnos održavanja i vrednosti i računanje preostale vrednosti oduzimanjem popravki. Nabavna i knjigovodstvena vrednost prikazane su zasebno; prazno nije nula.</w:t>
      </w:r>
    </w:p>
    <w:p>
      <w:pPr>
        <w:pStyle w:val="Heading1"/>
      </w:pPr>
      <w:r>
        <w:t>Tačka 9</w:t>
      </w:r>
    </w:p>
    <w:p>
      <w:pPr>
        <w:keepNext/>
      </w:pPr>
      <w:r>
        <w:t>Primedba iz preseka: Iznosi potrošnje goriva nisu dobri jer nisu vezani za period</w:t>
      </w:r>
    </w:p>
    <w:p>
      <w:pPr>
        <w:keepNext/>
      </w:pPr>
      <w:r>
        <w:rPr>
          <w:b/>
        </w:rPr>
        <w:t xml:space="preserve">Ocena: </w:t>
      </w:r>
      <w:r>
        <w:t>Period i prikaz</w:t>
      </w:r>
    </w:p>
    <w:p>
      <w:r>
        <w:rPr>
          <w:b/>
        </w:rPr>
        <w:t xml:space="preserve">Odgovor: </w:t>
      </w:r>
      <w:r>
        <w:t>Ukupan iznos goriva na kartici predstavlja zbir dostupnih transakcija bez izabranog perioda. Zbir zato nije automatski pogrešan, ali je nedovoljno objašnjen i nepogodan za poređenje vozila sa različitim obuhvatom podataka. Potrebno je prikazati oznaku „ukupno u evidenciji“, raspon datuma i filter perioda. Sama izmena oznake ne potvrđuje potpunost izvornih transakcija.</w:t>
      </w:r>
    </w:p>
    <w:p>
      <w:r>
        <w:rPr>
          <w:b/>
        </w:rPr>
        <w:t xml:space="preserve">Status 10.09.2026: </w:t>
      </w:r>
      <w:r>
        <w:t>Realizovano na detalju — gorivo/AdBlue ima zajednički period sa mesečnim pregledom i računima. Iznos je eksplicitno bruto, iz NIS/OMV evidencije.</w:t>
      </w:r>
    </w:p>
    <w:p>
      <w:pPr>
        <w:pStyle w:val="Heading1"/>
      </w:pPr>
      <w:r>
        <w:t>Tačka 10</w:t>
      </w:r>
    </w:p>
    <w:p>
      <w:pPr>
        <w:keepNext/>
      </w:pPr>
      <w:r>
        <w:t>Primedba iz preseka: Troškovi servisa po tipu popravke nije dobar grafikon jer nije vezan za period na koji se odnosi</w:t>
      </w:r>
    </w:p>
    <w:p>
      <w:pPr>
        <w:keepNext/>
      </w:pPr>
      <w:r>
        <w:rPr>
          <w:b/>
        </w:rPr>
        <w:t xml:space="preserve">Ocena: </w:t>
      </w:r>
      <w:r>
        <w:t>Grafikon — dorada filtriranja i oznaka</w:t>
      </w:r>
    </w:p>
    <w:p>
      <w:r>
        <w:rPr>
          <w:b/>
        </w:rPr>
        <w:t xml:space="preserve">Odgovor: </w:t>
      </w:r>
      <w:r>
        <w:t>Raspodela servisnih troškova po kategorijama ima poslovnu vrednost. Sadašnji grafikon koristi sve dostupne servisne transakcije i prikazuje osam najvećih kategorija. Potrebno je navesti period, omogućiti njegovo filtriranje i preostale kategorije grupisati kao „Ostalo“ ili jasno označiti da je prikaz ograničen. Osnovu grafikona nije potrebno odbaciti.</w:t>
      </w:r>
    </w:p>
    <w:p>
      <w:r>
        <w:rPr>
          <w:b/>
        </w:rPr>
        <w:t xml:space="preserve">Status 10.09.2026: </w:t>
      </w:r>
      <w:r>
        <w:t>Realizovano — struktura održavanja koristi isti period, obuhvata spoljne usluge i delove i IMS trebovanja, sve kategorije, nerazvrstano i negativne stavke.</w:t>
      </w:r>
    </w:p>
    <w:p>
      <w:pPr>
        <w:pStyle w:val="Heading1"/>
      </w:pPr>
      <w:r>
        <w:t>Tačka 11</w:t>
      </w:r>
    </w:p>
    <w:p>
      <w:pPr>
        <w:keepNext/>
      </w:pPr>
      <w:r>
        <w:t>Primedba iz preseka: U opis vozila ubaciti negde i boju</w:t>
      </w:r>
    </w:p>
    <w:p>
      <w:pPr>
        <w:keepNext/>
      </w:pPr>
      <w:r>
        <w:rPr>
          <w:b/>
        </w:rPr>
        <w:t xml:space="preserve">Ocena: </w:t>
      </w:r>
      <w:r>
        <w:t>UI — mala dopuna</w:t>
      </w:r>
    </w:p>
    <w:p>
      <w:r>
        <w:rPr>
          <w:b/>
        </w:rPr>
        <w:t xml:space="preserve">Odgovor: </w:t>
      </w:r>
      <w:r>
        <w:t>Boju treba prikazati iz postojećeg strukturiranog polja uz marku, model ili tehničke podatke vozila. Nije potrebno ponovo je ručno upisivati u slobodan opis, jer bi dva unosa mogla da se razlikuju. Ovo je dopuna prikaza, a ne uvođenje novog podatka.</w:t>
      </w:r>
    </w:p>
    <w:p>
      <w:r>
        <w:rPr>
          <w:b/>
        </w:rPr>
        <w:t xml:space="preserve">Status 10.09.2026: </w:t>
      </w:r>
      <w:r>
        <w:t>Realizovano — opis boje je vidljiv i može da se menja u podacima vozila.</w:t>
      </w:r>
    </w:p>
    <w:p>
      <w:pPr>
        <w:pStyle w:val="Heading1"/>
      </w:pPr>
      <w:r>
        <w:t>Tačka 12</w:t>
      </w:r>
    </w:p>
    <w:p>
      <w:pPr>
        <w:keepNext/>
      </w:pPr>
      <w:r>
        <w:t xml:space="preserve">Primedba iz preseka: Proračun isplativosti bi trebalo uraditi ponovo jer nije dobro. Postavićemo ovo drugačije. </w:t>
      </w:r>
    </w:p>
    <w:p>
      <w:pPr>
        <w:keepNext/>
      </w:pPr>
      <w:r>
        <w:rPr>
          <w:b/>
        </w:rPr>
        <w:t xml:space="preserve">Ocena: </w:t>
      </w:r>
      <w:r>
        <w:t>Metodologija obračuna i naziv</w:t>
      </w:r>
    </w:p>
    <w:p>
      <w:r>
        <w:rPr>
          <w:b/>
        </w:rPr>
        <w:t xml:space="preserve">Odgovor: </w:t>
      </w:r>
      <w:r>
        <w:t>Postojeći obračun ima upotrebljivu osnovu: trošak po kilometru, približne periode od 12 i 24 meseca i prikaz sastavnih troškova. Naziv „isplativost“ ipak obećava više nego što sam trošak po kilometru dokazuje. Amortizacija je procenjena, kilometraža može biti procenjena, a polise se trenutno uzimaju u punom iznosu ako se preklapaju sa periodom. Potrebno je potvrditi metodologiju, raspodelu troškova po periodima i tumačenje rezultata. Osnovu treba doraditi, bez automatskog odbacivanja celog rešenja.</w:t>
      </w:r>
    </w:p>
    <w:p>
      <w:r>
        <w:rPr>
          <w:b/>
        </w:rPr>
        <w:t xml:space="preserve">Status 10.09.2026: </w:t>
      </w:r>
      <w:r>
        <w:t>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pStyle w:val="Heading1"/>
      </w:pPr>
      <w:r>
        <w:t>Tačka 13</w:t>
      </w:r>
    </w:p>
    <w:p>
      <w:pPr>
        <w:keepNext/>
      </w:pPr>
      <w: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r>
        <w:rPr>
          <w:b/>
        </w:rPr>
        <w:t xml:space="preserve">Odgovor: </w:t>
      </w:r>
      <w:r>
        <w:t>Osnovna formula „trošak / pređena kilometraža“ može biti ista za različita vozila. Razlikuju se sastav troška, pragovi i tumačenje rezultata. Sadašnji kod već razlikuje pragove prema masi vozila i tretman finansijskog lizinga od drugih ugovora. Potrebno je potvrditi te pragove i obračune, kao i poređenje prema nameni i načinu zaduženja. Povremeno korišćeno vozilo može imati visok trošak po kilometru, a ipak biti poslovno potrebno. Vrstu vlasništva i korišćenja treba uključiti prema dogovorenoj metodologiji.</w:t>
      </w:r>
    </w:p>
    <w:p>
      <w:r>
        <w:rPr>
          <w:b/>
        </w:rPr>
        <w:t xml:space="preserve">Status 10.09.2026: </w:t>
      </w:r>
      <w:r>
        <w:t>Delimično — kategorija, raspolaganje i finansiranje odvojeni su, istorija korišćenja vidljiva. Nije uvedena nova metodologija rentabilnosti niti promenjena poslovna pravila stalnog/dnevnog zaduženja.</w:t>
      </w:r>
    </w:p>
    <w:p>
      <w:pPr>
        <w:pStyle w:val="Heading1"/>
      </w:pPr>
      <w:r>
        <w:t>Tačka 14</w:t>
      </w:r>
    </w:p>
    <w:p>
      <w:pPr>
        <w:keepNext/>
      </w:pPr>
      <w:r>
        <w:t>Primedba iz preseka: Fokus je da ono sto se je dostupno bude privedeno nameni. To je ono sto će sse videti sa leve strane: Spisak vozila, Saobracajne dozvole, Putni nalozi, Zaduzenja vozila, Garaža IMS, Izveštaji i Ostalo.</w:t>
      </w:r>
    </w:p>
    <w:p>
      <w:pPr>
        <w:keepNext/>
      </w:pPr>
      <w:r>
        <w:rPr>
          <w:b/>
        </w:rPr>
        <w:t xml:space="preserve">Ocena: </w:t>
      </w:r>
      <w:r>
        <w:t>UI i prioriteti rada</w:t>
      </w:r>
    </w:p>
    <w:p>
      <w:r>
        <w:rPr>
          <w:b/>
        </w:rPr>
        <w:t xml:space="preserve">Odgovor: </w:t>
      </w:r>
      <w:r>
        <w:t>Predloženi levi meni je razuman za svakodnevni rad. Postojeći širi meni može se opravdati neposrednom dostupnošću funkcija, dok predloženo grupisanje smanjuje opterećenje korisnika. Raspored treba uskladiti sa ulogama i poslovima korisnika. Naziv „Spisak vozila“ je precizniji od „Spisak automobila“, jer aplikacija obuhvata i druge kategorije.</w:t>
      </w:r>
    </w:p>
    <w:p>
      <w:r>
        <w:rPr>
          <w:b/>
        </w:rPr>
        <w:t xml:space="preserve">Status 10.09.2026: </w:t>
      </w:r>
      <w:r>
        <w:t>Otvoreno — kompletan predloženi raspored levog menija nije primenjen.</w:t>
      </w:r>
    </w:p>
    <w:p>
      <w:pPr>
        <w:pStyle w:val="Heading1"/>
      </w:pPr>
      <w:r>
        <w:t>Tačka 15</w:t>
      </w:r>
    </w:p>
    <w:p>
      <w:pPr>
        <w:keepNext/>
      </w:pPr>
      <w:r>
        <w:t>Primedba iz preseka: U okviru izveštaja će se naći Potorsnja, Polise, Popravke van IMS, Popravke u IMS, Lizing i najam (ali ćemo ažuriranje ove tabele dugačije postaviti).</w:t>
      </w:r>
    </w:p>
    <w:p>
      <w:pPr>
        <w:keepNext/>
      </w:pPr>
      <w:r>
        <w:rPr>
          <w:b/>
        </w:rPr>
        <w:t xml:space="preserve">Ocena: </w:t>
      </w:r>
      <w:r>
        <w:t>Navigacija i održavanje evidencija</w:t>
      </w:r>
    </w:p>
    <w:p>
      <w:r>
        <w:rPr>
          <w:b/>
        </w:rPr>
        <w:t xml:space="preserve">Odgovor: </w:t>
      </w:r>
      <w:r>
        <w:t>Pregledi se mogu objediniti u okviru Izveštaja. Polise i ugovori o lizingu/najmu imaju i funkcije unosa, izmene i praćenja rokova, pa te radnje treba jasno učiniti dostupnim. Drugačiji postupak ažuriranja lizinga i najma predstavlja zaseban poslovni zahtev koji treba definisati. Promena mesta u meniju sama po sebi ne menja postojeće podatke i obračune.</w:t>
      </w:r>
    </w:p>
    <w:p>
      <w:r>
        <w:rPr>
          <w:b/>
        </w:rPr>
        <w:t xml:space="preserve">Status 10.09.2026: </w:t>
      </w:r>
      <w:r>
        <w:t>Otvoreno — novi zbirni izveštaji nisu predmet ove iteracije; na detalju su dostupni ugovori, polise i finansijske stavke.</w:t>
      </w:r>
    </w:p>
    <w:p>
      <w:pPr>
        <w:pStyle w:val="Heading1"/>
      </w:pPr>
      <w:r>
        <w:t>Tačka 16</w:t>
      </w:r>
    </w:p>
    <w:p>
      <w:pPr>
        <w:keepNext/>
      </w:pPr>
      <w: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r>
        <w:rPr>
          <w:b/>
        </w:rPr>
        <w:t xml:space="preserve">Odgovor: </w:t>
      </w:r>
      <w:r>
        <w:t>Ograničavanje vidljivosti nepotvrđenih pokazatelja je prihvatljivo. Iz toga ne proizlazi da su svi podaci na Kontrolnoj tabli i Analitici pogrešni. Predlaže se potvrda pojedinačnih pokazatelja: definicija, izvor, period i poređenje sa kontrolnim iznosima. Potvrđeni pokazatelji mogu se koristiti, dok se ostali privremeno ograniče ili označe kao probni. Sadašnji meni i dalje sadrži obe stavke.</w:t>
      </w:r>
    </w:p>
    <w:p>
      <w:r>
        <w:rPr>
          <w:b/>
        </w:rPr>
        <w:t xml:space="preserve">Status 10.09.2026: </w:t>
      </w:r>
      <w:r>
        <w:t>Delimično — detalj prikazuje izvore, obuhvat i nedostajuće podatke, bez proizvoljne ocene isplativosti. Potvrda potpunosti podataka i objavljivanje kontrolne table ostaju poslovni zadatak.</w:t>
      </w:r>
    </w:p>
    <w:p>
      <w:pPr>
        <w:pStyle w:val="Heading1"/>
      </w:pPr>
      <w:r>
        <w:t>Tačka 17</w:t>
      </w:r>
    </w:p>
    <w:p>
      <w:pPr>
        <w:keepNext/>
      </w:pPr>
      <w: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r>
        <w:rPr>
          <w:b/>
        </w:rPr>
        <w:t xml:space="preserve">Odgovor: </w:t>
      </w:r>
      <w:r>
        <w:t>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r>
        <w:rPr>
          <w:b/>
        </w:rPr>
        <w:t xml:space="preserve">Status 10.09.2026: </w:t>
      </w:r>
      <w:r>
        <w:t>Otvoreno — procedure garaže, odgovorne osobe i predaja matičnih podataka zahtevaju dogovor sa navedenim učesnicima. Nije izmišljena procedura niti imenovan odgovorni korisnik.</w:t>
      </w:r>
    </w:p>
    <w:p>
      <w:pPr>
        <w:pStyle w:val="Heading1"/>
      </w:pPr>
      <w:r>
        <w:t>Tačka 18</w:t>
      </w:r>
    </w:p>
    <w:p>
      <w:pPr>
        <w:keepNext/>
      </w:pPr>
      <w:r>
        <w:t xml:space="preserve">Primedba iz preseka: DDOR potraživanja mogu da se brišu jer više nemaju svrhu, ovo ce se pratiti </w:t>
      </w:r>
    </w:p>
    <w:p>
      <w:pPr>
        <w:keepNext/>
      </w:pPr>
      <w:r>
        <w:rPr>
          <w:b/>
        </w:rPr>
        <w:t xml:space="preserve">Ocena: </w:t>
      </w:r>
      <w:r>
        <w:t>Uklanjanje pregleda, uz razjašnjenje namene</w:t>
      </w:r>
    </w:p>
    <w:p>
      <w:r>
        <w:rPr>
          <w:b/>
        </w:rPr>
        <w:t xml:space="preserve">Odgovor: </w:t>
      </w:r>
      <w:r>
        <w:t>Ako poseban DDOR pregled više nema poslovnu svrhu, može se ukloniti iz navigacije. Uklanjanje ekrana treba razlikovati od brisanja istorijskih podataka. Naknade osiguranja učestvuju u postojećem obračunu održavanja, pa se njihov dalji izvor i praćenje moraju sačuvati. Rečenica u originalnom dokumentu nije dovršena i ne navodi gde će se ova oblast ubuduće pratiti.</w:t>
      </w:r>
    </w:p>
    <w:p>
      <w:r>
        <w:rPr>
          <w:b/>
        </w:rPr>
        <w:t xml:space="preserve">Status 10.09.2026: </w:t>
      </w:r>
      <w:r>
        <w:t>Sačuvano — istorija naknada osiguranja nije obrisana. Na detalju su naknade odvojene od troškova i dostupne po periodu. Brisanje posebnog DDOR izveštaja nije sprovedeno.</w:t>
      </w:r>
    </w:p>
    <w:p>
      <w:pPr>
        <w:pStyle w:val="Heading1"/>
      </w:pPr>
      <w:r>
        <w:t>Tačka 19</w:t>
      </w:r>
    </w:p>
    <w:p>
      <w:pPr>
        <w:keepNext/>
      </w:pPr>
      <w: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r>
        <w:rPr>
          <w:b/>
        </w:rPr>
        <w:t xml:space="preserve">Odgovor: </w:t>
      </w:r>
      <w:r>
        <w:t>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r>
        <w:rPr>
          <w:b/>
        </w:rPr>
        <w:t xml:space="preserve">Status 10.09.2026: </w:t>
      </w:r>
      <w:r>
        <w:t>Realizovano na detalju — korišćen je naziv Spoljne usluge i delovi. Globalno preimenovanje izveštaja/menija ostaje otvoreno.</w:t>
      </w:r>
    </w:p>
    <w:p>
      <w:pPr>
        <w:pStyle w:val="Heading1"/>
      </w:pPr>
      <w:r>
        <w:t>Tačka 20</w:t>
      </w:r>
    </w:p>
    <w:p>
      <w:pPr>
        <w:keepNext/>
      </w:pPr>
      <w: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r>
        <w:rPr>
          <w:b/>
        </w:rPr>
        <w:t xml:space="preserve">Odgovor: </w:t>
      </w:r>
      <w:r>
        <w:t>Sinhronizacija trebovanja već prenosi artikle, količine, vrednost, datum i vezu sa vozilom, čime se izbegava ponovni unos istih troškova. Iz samog utrošenog dela nije pouzdano moguće zaključiti da li je reč o redovnom održavanju ili vanrednoj popravci. Kategoriju treba evidentirati na intervenciji ili radnom nalogu i povezati sa trebovanjem kroz novu proceduru. Nepostojanje te klasifikacije ne znači da je sama integracija troškova pogrešna.</w:t>
      </w:r>
    </w:p>
    <w:p>
      <w:r>
        <w:rPr>
          <w:b/>
        </w:rPr>
        <w:t xml:space="preserve">Status 10.09.2026: </w:t>
      </w:r>
      <w:r>
        <w:t>Otvoreno — prikazuju se postojeća IMS trebovanja, ali nije uvedena nova klasifikacija redovnog/vanrednog održavanja niti novi APL proces.</w:t>
      </w:r>
    </w:p>
    <w:p>
      <w:pPr>
        <w:pStyle w:val="Heading1"/>
      </w:pPr>
      <w:r>
        <w:t>Tačka 21</w:t>
      </w:r>
    </w:p>
    <w:p>
      <w:pPr>
        <w:keepNext/>
      </w:pPr>
      <w: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r>
        <w:rPr>
          <w:b/>
        </w:rPr>
        <w:t xml:space="preserve">Odgovor: </w:t>
      </w:r>
      <w:r>
        <w:t>Sadašnji model fakture ima oznaku garaže i vezu sa vozilom, a forma omogućava njihov unos. Osnovni zahtev je time tehnički podržan. Treba potvrditi postupak za fakture koje obuhvataju više vozila i zbirne polise, jer jedno polje za vozilo ne rešava raspodelu takvog dokumenta. Potrebno je usaglasiti i način na koji se povezani iznosi uključuju u izveštaje bez dvostrukog računanja.</w:t>
      </w:r>
    </w:p>
    <w:p>
      <w:r>
        <w:rPr>
          <w:b/>
        </w:rPr>
        <w:t xml:space="preserve">Status 10.09.2026: </w:t>
      </w:r>
      <w:r>
        <w:t>Otvoreno — nije dodata nova veza ulazne fakture sa garažom, vozilom ili polisom. Postojeće nabavne veze ostaju predmet posebne dorade.</w:t>
      </w:r>
    </w:p>
    <w:p>
      <w:pPr>
        <w:pStyle w:val="Heading1"/>
      </w:pPr>
      <w:r>
        <w:t>Tačka 22</w:t>
      </w:r>
    </w:p>
    <w:p>
      <w:pPr>
        <w:keepNext/>
      </w:pPr>
      <w:r>
        <w:t xml:space="preserve">Primedba iz preseka: U izveštaj i pregled vozila koja su starosti do 7 godina i prepoznata kao vozila velike vrednosti za potrebe kasko osiguranja. </w:t>
      </w:r>
    </w:p>
    <w:p>
      <w:pPr>
        <w:keepNext/>
      </w:pPr>
      <w:r>
        <w:rPr>
          <w:b/>
        </w:rPr>
        <w:t xml:space="preserve">Ocena: </w:t>
      </w:r>
      <w:r>
        <w:t>Novi namenski izveštaj</w:t>
      </w:r>
    </w:p>
    <w:p>
      <w:r>
        <w:rPr>
          <w:b/>
        </w:rPr>
        <w:t xml:space="preserve">Odgovor: </w:t>
      </w:r>
      <w:r>
        <w:t>Podaci o vozilu predstavljaju osnovu za ovaj pregled. Potrebno je definisati datum obračuna starosti, prag i vrstu vrednosti, kao i da li uslovi „do sedam godina“ i „velike vrednosti“ važe zajedno ili odvojeno. Prag treba da bude podesiv. Knjigovodstvena vrednost ne treba prećutno da se koristi kao osigurana vrednost. Ovaj zahtev predstavlja namensku doradu izveštavanja.</w:t>
      </w:r>
    </w:p>
    <w:p>
      <w:r>
        <w:rPr>
          <w:b/>
        </w:rPr>
        <w:t xml:space="preserve">Status 10.09.2026: </w:t>
      </w:r>
      <w:r>
        <w:t>Otvoreno — izveštaj osiguranja po starosti/vrednosti nije kreiran.</w:t>
      </w:r>
    </w:p>
    <w:p>
      <w:pPr>
        <w:pStyle w:val="Heading1"/>
      </w:pPr>
      <w:r>
        <w:t>Tačka 23</w:t>
      </w:r>
    </w:p>
    <w:p>
      <w:pPr>
        <w:keepNext/>
      </w:pPr>
      <w:r>
        <w:t>Primedba iz preseka: Tako će se napraviti izveštaj za potrebe auto osiguranja vozila, u koji će ući sva vozila koja su u vlasništvu IMS sa pratećim podacima.</w:t>
      </w:r>
    </w:p>
    <w:p>
      <w:pPr>
        <w:keepNext/>
      </w:pPr>
      <w:r>
        <w:rPr>
          <w:b/>
        </w:rPr>
        <w:t xml:space="preserve">Ocena: </w:t>
      </w:r>
      <w:r>
        <w:t>Izveštaj i dosledna evidencija vlasništva</w:t>
      </w:r>
    </w:p>
    <w:p>
      <w:r>
        <w:rPr>
          <w:b/>
        </w:rPr>
        <w:t xml:space="preserve">Odgovor: </w:t>
      </w:r>
      <w:r>
        <w:t>Izveštaj za osiguranje je opravdan i može koristiti postojeće podatke o vozilu i dokumentima. Za tačan izbor potreban je dosledno evidentiran osnov vlasništva i stanje na odabrani datum. Odsustvo ugovora o najmu nije dovoljan dokaz da je vozilo vlasništvo IMS. Potrebno je dogovoriti i obavezne prateće podatke i format izvoza za ovu namenu.</w:t>
      </w:r>
    </w:p>
    <w:p>
      <w:r>
        <w:rPr>
          <w:b/>
        </w:rPr>
        <w:t xml:space="preserve">Status 10.09.2026: </w:t>
      </w:r>
      <w:r>
        <w:t>Delimično — postoji eksplicitna evidencija osnova. Migracija za 149 vozila nije upisivala pretpostavljeno vlasništvo. Naknadno, po izričitom pravilu korisnika, detalj bez tekućeg osnova i važećeg lizinga/najma prikazuje Vlasništvo IMS. To je podrazumevani prikaz, ne izmišljena istorija vlasništva. Zbirni izveštaj još nije završen.</w:t>
      </w:r>
    </w:p>
    <w:p>
      <w:pPr>
        <w:pStyle w:val="Heading1"/>
      </w:pPr>
      <w:r>
        <w:t>Tačka 24</w:t>
      </w:r>
    </w:p>
    <w:p>
      <w:pPr>
        <w:keepNext/>
      </w:pPr>
      <w:r>
        <w:t>Primedba iz preseka: Pregled svih kupljenih delova od AutoDekija.</w:t>
      </w:r>
    </w:p>
    <w:p>
      <w:pPr>
        <w:keepNext/>
      </w:pPr>
      <w:r>
        <w:rPr>
          <w:b/>
        </w:rPr>
        <w:t xml:space="preserve">Ocena: </w:t>
      </w:r>
      <w:r>
        <w:t>Novi pregled na nivou stavki</w:t>
      </w:r>
    </w:p>
    <w:p>
      <w:r>
        <w:rPr>
          <w:b/>
        </w:rPr>
        <w:t xml:space="preserve">Odgovor: </w:t>
      </w:r>
      <w:r>
        <w:t>Za pregled svih kupljenih delova potrebni su dobavljač, period, artikli, količine i iznosi, uz obradu povrata i odobrenja. Ukupni iznosi faktura nisu dovoljni za specifikaciju delova. Kupovina dela i njegova ugradnja u vozilo predstavljaju različite događaje: za pregled po vozilu potrebna je veza sa izdavanjem iz magacina ili konkretnom intervencijom. Dobavljača treba birati prema stabilnoj šifri, a ne samo tekstu naziva.</w:t>
      </w:r>
    </w:p>
    <w:p>
      <w:r>
        <w:rPr>
          <w:b/>
        </w:rPr>
        <w:t xml:space="preserve">Status 10.09.2026: </w:t>
      </w:r>
      <w:r>
        <w:t>Otvoreno — nije uveden zaseban uvoz/povezivanje delova AutoDeki.</w:t>
      </w:r>
    </w:p>
    <w:p>
      <w:pPr>
        <w:pStyle w:val="Heading1"/>
      </w:pPr>
      <w:r>
        <w:t>Tačka 25</w:t>
      </w:r>
    </w:p>
    <w:p>
      <w:pPr>
        <w:keepNext/>
      </w:pPr>
      <w:r>
        <w:t xml:space="preserve">Primedba iz preseka: Izvetaj Zatvoreni putni nalozi može da se obriše. Nikolina će ih pratiti kroz deo aplikacije Putni nalozi. </w:t>
      </w:r>
    </w:p>
    <w:p>
      <w:pPr>
        <w:keepNext/>
      </w:pPr>
      <w:r>
        <w:rPr>
          <w:b/>
        </w:rPr>
        <w:t xml:space="preserve">Ocena: </w:t>
      </w:r>
      <w:r>
        <w:t>UI — uklanjanje duplog pristupa</w:t>
      </w:r>
    </w:p>
    <w:p>
      <w:r>
        <w:rPr>
          <w:b/>
        </w:rPr>
        <w:t xml:space="preserve">Odgovor: </w:t>
      </w:r>
      <w:r>
        <w:t>Ako osnovni pregled putnih naloga omogućava filtriranje zatvorenih naloga i potrebnu pretragu, poseban izveštaj može se ukloniti. Njegovo ranije postojanje ima opravdanje kao prečica za određeni posao. Treba potvrditi da osnovni pregled zadržava potrebne kolone i izvoz. Uklanjanje izveštaja ne podrazumeva brisanje zatvorenih naloga.</w:t>
      </w:r>
    </w:p>
    <w:p>
      <w:r>
        <w:rPr>
          <w:b/>
        </w:rPr>
        <w:t xml:space="preserve">Status 10.09.2026: </w:t>
      </w:r>
      <w:r>
        <w:t>Otvoreno — poseban izveštaj zatvorenih naloga nije uklonjen. Na detalju ostaju istorije obe vrste naloga.</w:t>
      </w:r>
    </w:p>
    <w:p>
      <w:pPr>
        <w:pStyle w:val="Heading1"/>
      </w:pPr>
      <w:r>
        <w:t>Tačka 26</w:t>
      </w:r>
    </w:p>
    <w:p>
      <w:pPr>
        <w:keepNext/>
      </w:pPr>
      <w: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r>
        <w:rPr>
          <w:b/>
        </w:rPr>
        <w:t xml:space="preserve">Odgovor: </w:t>
      </w:r>
      <w:r>
        <w:t>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r>
        <w:rPr>
          <w:b/>
        </w:rPr>
        <w:t xml:space="preserve">Status 10.09.2026: </w:t>
      </w:r>
      <w:r>
        <w:t>Otvoreno — nije uvedena raspodela fakture praćenja na pojedinačna vozila; ovaj trošak je eksplicitno izvan pokazatelja na detalju.</w:t>
      </w:r>
    </w:p>
    <w:p>
      <w:pPr>
        <w:pStyle w:val="Heading1"/>
      </w:pPr>
      <w:r>
        <w:t>Tačka 27</w:t>
      </w:r>
    </w:p>
    <w:p>
      <w:pPr>
        <w:keepNext/>
      </w:pPr>
      <w:r>
        <w:t>Primedba iz preseka: Izvestaj koji se odnosi na ukupno potroseno gorivo u IMS proveriti.</w:t>
      </w:r>
    </w:p>
    <w:p>
      <w:pPr>
        <w:keepNext/>
      </w:pPr>
      <w:r>
        <w:rPr>
          <w:b/>
        </w:rPr>
        <w:t xml:space="preserve">Ocena: </w:t>
      </w:r>
      <w:r>
        <w:t>Kontrola usaglašenosti izvora</w:t>
      </w:r>
    </w:p>
    <w:p>
      <w:r>
        <w:rPr>
          <w:b/>
        </w:rPr>
        <w:t xml:space="preserve">Odgovor: </w:t>
      </w:r>
      <w:r>
        <w:t>Sadašnji mesečni izveštaj čita računovodstveni SQL pregled, što ima opravdanje za knjižene iznose. Kartične transakcije predstavljaju točenja i mogu imati drugačiji vremenski obuhvat. Razlike treba proveriti prema periodu knjiženja i transakcije, vrsti proizvoda, rabatima, korekcijama i osnovi iznosa. Bez poređenja istog obuhvata nije opravdano unapred zaključiti da je aplikacioni zbir pogrešan. Tačnost produkcionih iznosa nije potvrđena ovom analizom koda.</w:t>
      </w:r>
    </w:p>
    <w:p>
      <w:r>
        <w:rPr>
          <w:b/>
        </w:rPr>
        <w:t xml:space="preserve">Status 10.09.2026: </w:t>
      </w:r>
      <w:r>
        <w:t>Delimično — detalj koristi postojeći zajednički izvor NIS/OMV računa i jasno navodi period i bruto iznos; to nije potvrda usaglašenosti sa finansijama.</w:t>
      </w:r>
    </w:p>
    <w:p>
      <w:pPr>
        <w:pStyle w:val="Heading1"/>
      </w:pPr>
      <w:r>
        <w:t>Tačka 28</w:t>
      </w:r>
    </w:p>
    <w:p>
      <w:pPr>
        <w:keepNext/>
      </w:pPr>
      <w:r>
        <w:t>Primedba iz preseka: U okviru izveštaja Pregled ukupnih troskova po kontima,  centrima i messecima je dobar, jedino sto je potrebno je korigovati iznos, ne postoji zarez koji odvaja decimalna mesta.</w:t>
      </w:r>
    </w:p>
    <w:p>
      <w:pPr>
        <w:keepNext/>
      </w:pPr>
      <w:r>
        <w:rPr>
          <w:b/>
        </w:rPr>
        <w:t xml:space="preserve">Ocena: </w:t>
      </w:r>
      <w:r>
        <w:t>Format brojeva i provera njihove obrade</w:t>
      </w:r>
    </w:p>
    <w:p>
      <w:r>
        <w:rPr>
          <w:b/>
        </w:rPr>
        <w:t xml:space="preserve">Odgovor: </w:t>
      </w:r>
      <w:r>
        <w:t>Zahtev za dosledan prikaz, npr. 1.234,56, opravdan je. Ipak, potrebno je proveriti i obradu brojeva: postojeći JavaScript uklanja tačke pri pretvaranju teksta u broj. Ako ulaz ima tačku kao decimalni separator, vrednost može biti pogrešno protumačena. Zato provera treba da obuhvati prikaz, sortiranje, filtriranje i izvoz, a ne samo vizuelno dodavanje zareza. To je konkretan rizik za proveru, ne potvrđena greška svakog iznosa.</w:t>
      </w:r>
    </w:p>
    <w:p>
      <w:r>
        <w:rPr>
          <w:b/>
        </w:rPr>
        <w:t xml:space="preserve">Status 10.09.2026: </w:t>
      </w:r>
      <w:r>
        <w:t>Otvoreno — zbirni izveštaj po kontu/centru i njegovo formatiranje nisu menjani. Novi detalj prikazuje iznose na dve decimale za izabrani period.</w:t>
      </w:r>
    </w:p>
    <w:p>
      <w:pPr>
        <w:pStyle w:val="Heading1"/>
      </w:pPr>
      <w:r>
        <w:t>Tačka 29</w:t>
      </w:r>
    </w:p>
    <w:p>
      <w:pPr>
        <w:keepNext/>
      </w:pPr>
      <w: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r>
        <w:rPr>
          <w:b/>
        </w:rPr>
        <w:t xml:space="preserve">Odgovor: </w:t>
      </w:r>
      <w:r>
        <w:t>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r>
        <w:rPr>
          <w:b/>
        </w:rPr>
        <w:t xml:space="preserve">Status 10.09.2026: </w:t>
      </w:r>
      <w:r>
        <w:t>Otvoreno — godišnje rangiranje dobavljača i vezivanje ugovora nisu realizovani.</w:t>
      </w:r>
    </w:p>
    <w:p>
      <w:pPr>
        <w:pStyle w:val="Heading1"/>
      </w:pPr>
      <w:r>
        <w:t>Tačka 30</w:t>
      </w:r>
    </w:p>
    <w:p>
      <w:pPr>
        <w:keepNext/>
      </w:pPr>
      <w: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r>
        <w:rPr>
          <w:b/>
        </w:rPr>
        <w:t xml:space="preserve">Odgovor: </w:t>
      </w:r>
      <w:r>
        <w:t>Novi izveštaji za NIS i OMV već biraju poslednju dodelu šifre posla čiji datum nije posle datuma transakcije. To odgovara suštini zahteva za istorijskom raspodelom. Iznosi se sada obrađuju iz transakcionih tabela, pa njihovu usaglašenost sa navedenim SQL pregledima treba posebno potvrditi. SQL pregled sam po sebi nije neispravan pristup; presudna je tačna vremenska logika i potpunost istorije dodela. Postojanje ovog koda ne dokazuje da je bio prisutan u julu.</w:t>
      </w:r>
    </w:p>
    <w:p>
      <w:r>
        <w:rPr>
          <w:b/>
        </w:rPr>
        <w:t xml:space="preserve">Status 10.09.2026: </w:t>
      </w:r>
      <w:r>
        <w:t>Delimično — povezivanje uvoza sa vozilom prilagođeno je istoriji saobraćajnih dokumenata i tablica. Postojeća istorijska JobCode logika nije zamenjena novim izveštajem; finansijsko usaglašavanje je otvoreno.</w:t>
      </w:r>
    </w:p>
    <w:p>
      <w:pPr>
        <w:pStyle w:val="Heading1"/>
      </w:pPr>
      <w:r>
        <w:t>Tačka 31</w:t>
      </w:r>
    </w:p>
    <w:p>
      <w:pPr>
        <w:keepNext/>
      </w:pPr>
      <w: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r>
        <w:rPr>
          <w:b/>
        </w:rPr>
        <w:t xml:space="preserve">Odgovor: </w:t>
      </w:r>
      <w:r>
        <w:t>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r>
        <w:rPr>
          <w:b/>
        </w:rPr>
        <w:t xml:space="preserve">Status 10.09.2026: </w:t>
      </w:r>
      <w:r>
        <w:t>Otvoreno — nije izvršeno novo popunjavanje FuelConsumption niti potvrda sa finansijama. Novi detalj ne koristi ekstrapolaciju te evidencije za ocenu isplativosti.</w:t>
      </w:r>
    </w:p>
    <w:p>
      <w:pPr>
        <w:pStyle w:val="Heading1"/>
      </w:pPr>
      <w:r>
        <w:t>Tačka 32</w:t>
      </w:r>
    </w:p>
    <w:p>
      <w:pPr>
        <w:keepNext/>
      </w:pPr>
      <w:r>
        <w:t xml:space="preserve">Primedba iz preseka: Mora da se napravi izveštaj koji će da pored svih podataka koji opisuju jedno vozilo pokaze I predjenu mesečnu kilometrazu. </w:t>
      </w:r>
    </w:p>
    <w:p>
      <w:pPr>
        <w:keepNext/>
      </w:pPr>
      <w:r>
        <w:rPr>
          <w:b/>
        </w:rPr>
        <w:t xml:space="preserve">Ocena: </w:t>
      </w:r>
      <w:r>
        <w:t>Novi izveštaj i kvalitet kilometraže</w:t>
      </w:r>
    </w:p>
    <w:p>
      <w:r>
        <w:rPr>
          <w:b/>
        </w:rPr>
        <w:t xml:space="preserve">Odgovor: </w:t>
      </w:r>
      <w:r>
        <w:t>Postoje početna i završna kilometraža zaduženja, kao i očitavanja uz gorivo, što daje osnovu za izveštaj. Razlika prvog i poslednjeg točenja u mesecu ne predstavlja nužno kilometražu celog meseca. Potrebno je definisati izvor i pravilo obračuna, uključujući zaduženja koja prelaze iz jednog meseca u drugi. Izmerenu i procenjenu kilometražu treba razlikovati i navesti izvor, umesto prikazivanja procene kao tačnog očitavanja.</w:t>
      </w:r>
    </w:p>
    <w:p>
      <w:r>
        <w:rPr>
          <w:b/>
        </w:rPr>
        <w:t xml:space="preserve">Status 10.09.2026: </w:t>
      </w:r>
      <w:r>
        <w:t>Delimično — prikazuje se razlika rastućih očitanja sa računa i stvarni datumi pokrivenosti. Mesečna pređena kilometraža i l/100 km nisu proglašeni potvrđenim bez potrebnih očitanja.</w:t>
      </w:r>
    </w:p>
    <w:p>
      <w:pPr>
        <w:pStyle w:val="Heading1"/>
      </w:pPr>
      <w:r>
        <w:t>Tačka 33</w:t>
      </w:r>
    </w:p>
    <w:p>
      <w:pPr>
        <w:keepNext/>
      </w:pPr>
      <w: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r>
        <w:rPr>
          <w:b/>
        </w:rPr>
        <w:t xml:space="preserve">Odgovor: </w:t>
      </w:r>
      <w:r>
        <w:t>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r>
        <w:rPr>
          <w:b/>
        </w:rPr>
        <w:t xml:space="preserve">Status 10.09.2026: </w:t>
      </w:r>
      <w:r>
        <w:t>Otvoreno — proces vezivanja fakture za vozilo nezavisno od zahteva i odgovornost nakon knjiženja nisu menjani.</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kategorija, marka/model, godište, šasija i opcioni inventarski broj.</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t>Celina</w:t>
            </w:r>
          </w:p>
        </w:tc>
        <w:tc>
          <w:tcPr>
            <w:tcW w:type="dxa" w:w="4706"/>
          </w:tcPr>
          <w:p>
            <w:r>
              <w:t>Sadržaj i razlog</w:t>
            </w:r>
          </w:p>
        </w:tc>
      </w:tr>
      <w:tr>
        <w:tc>
          <w:tcPr>
            <w:tcW w:type="dxa" w:w="4706"/>
          </w:tcPr>
          <w:p>
            <w:r>
              <w:t>Zaglavlje i stanje</w:t>
            </w:r>
          </w:p>
        </w:tc>
        <w:tc>
          <w:tcPr>
            <w:tcW w:type="dxa" w:w="4706"/>
          </w:tcPr>
          <w:p>
            <w:r>
              <w:t>Tablice, marka/model, VIN, inventar, status evidencije, datum registracije, trenutni osnov raspolaganja, trenutna OJ i broj polisa koje važe danas. Nepoznat rok nije crvena ocena isplativosti.</w:t>
            </w:r>
          </w:p>
        </w:tc>
      </w:tr>
      <w:tr>
        <w:tc>
          <w:tcPr>
            <w:tcW w:type="dxa" w:w="4706"/>
          </w:tcPr>
          <w:p>
            <w:r>
              <w:t>Podaci</w:t>
            </w:r>
          </w:p>
        </w:tc>
        <w:tc>
          <w:tcPr>
            <w:tcW w:type="dxa" w:w="4706"/>
          </w:tcPr>
          <w:p>
            <w:r>
              <w:t>Identitet, boja, homologacija, nabavna i knjigovodstvena vrednost i tehničke karakteristike. Nedostajući numerički podaci su označeni, bez zamene nabavnom vrednošću.</w:t>
            </w:r>
          </w:p>
        </w:tc>
      </w:tr>
      <w:tr>
        <w:tc>
          <w:tcPr>
            <w:tcW w:type="dxa" w:w="4706"/>
          </w:tcPr>
          <w:p>
            <w:r>
              <w:t>Raspolaganje i polise</w:t>
            </w:r>
          </w:p>
        </w:tc>
        <w:tc>
          <w:tcPr>
            <w:tcW w:type="dxa" w:w="4706"/>
          </w:tcPr>
          <w:p>
            <w:r>
              <w:t>Istorija osnova, ugovori, istorija OJ, aktivne polise i celokupna istorija polisa. Buduća polisa nije aktivna; buduća OJ nije trenutna.</w:t>
            </w:r>
          </w:p>
        </w:tc>
      </w:tr>
      <w:tr>
        <w:tc>
          <w:tcPr>
            <w:tcW w:type="dxa" w:w="4706"/>
          </w:tcPr>
          <w:p>
            <w:r>
              <w:t>Troškovi</w:t>
            </w:r>
          </w:p>
        </w:tc>
        <w:tc>
          <w:tcPr>
            <w:tcW w:type="dxa" w:w="4706"/>
          </w:tcPr>
          <w:p>
            <w:r>
              <w:t>Jedan period, pokazatelji, mesečni pregled, struktura održavanja, računi za gorivo/AdBlue, spoljne usluge i delovi, IMS trebovanja i naknade osiguranja. Stavke se otvaraju po potrebi i imaju pretragu/straničenje.</w:t>
            </w:r>
          </w:p>
        </w:tc>
      </w:tr>
      <w:tr>
        <w:tc>
          <w:tcPr>
            <w:tcW w:type="dxa" w:w="4706"/>
          </w:tcPr>
          <w:p>
            <w:r>
              <w:t>Korišćenje</w:t>
            </w:r>
          </w:p>
        </w:tc>
        <w:tc>
          <w:tcPr>
            <w:tcW w:type="dxa" w:w="4706"/>
          </w:tcPr>
          <w:p>
            <w:r>
              <w:t>Obe postojeće istorije naloga sa vezama ka detaljima. Prikaz celokupne istorije je izričito odvojen od perioda finansijske analitike.</w:t>
            </w:r>
          </w:p>
        </w:tc>
      </w:tr>
      <w:tr>
        <w:tc>
          <w:tcPr>
            <w:tcW w:type="dxa" w:w="4706"/>
          </w:tcPr>
          <w:p>
            <w:r>
              <w:t>Dokumenti</w:t>
            </w:r>
          </w:p>
        </w:tc>
        <w:tc>
          <w:tcPr>
            <w:tcW w:type="dxa" w:w="4706"/>
          </w:tcPr>
          <w:p>
            <w: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Automatski testovi: svih 25 testova unosa/modela i 11 novih testova detalja prolaze (36/36). Širi paket fleet + nabavka: 130 testova, 128 prolazi, ostaju ista dva prethodno potvrđena pada koja postoje i na osnovnom Git HEAD kodu.</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Podaci: dve kartice iste visine. Svi tabovi su unutar jedne zajedničke kartice. Raspolaganje: četiri uređene kartice u parovima iste visine, sa tabelama osnova, OJ, ugovora i polisa.</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243B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3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