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Usaglašavanje pre prelaska na novi sistem organizacije</w:t>
      </w:r>
    </w:p>
    <w:p>
      <w:r>
        <w:rPr>
          <w:b w:val="0"/>
        </w:rPr>
        <w:t>Institut IMS  |  Stanje provereno 21.09.2026. u 09.52  |  Firma 1</w:t>
      </w:r>
    </w:p>
    <w:p>
      <w:pPr>
        <w:pStyle w:val="Heading2"/>
      </w:pPr>
      <w:r>
        <w:t>Glavni zaključak</w:t>
      </w:r>
    </w:p>
    <w:p>
      <w:r>
        <w:rPr>
          <w:b/>
        </w:rPr>
        <w:t>Postojeće sinhronizacije mogu da nastave rad dok stari šifarnici ostaju merodavni. Novi registar je spreman za kontrolisano povezivanje i poređenje, ali još nije spreman da odmah zameni organizaciju i dozvole u svim modulima.</w:t>
      </w:r>
    </w:p>
    <w:p>
      <w:r>
        <w:rPr>
          <w:b w:val="0"/>
        </w:rPr>
        <w:t>Prelazak zahteva usaglašene šifre i pravila, zajedničko razrešavanje organizacije i dopunu sinhronizacija. Nije dovoljno promeniti izbor šifre na ekranu ili samo prevesti korisničke centre 2 i 3 u 20 i 30.</w:t>
      </w:r>
    </w:p>
    <w:tbl>
      <w:tblPr>
        <w:tblW w:type="auto" w:w="0"/>
        <w:jc w:val="center"/>
        <w:tblLayout w:type="fixed"/>
        <w:tblLook w:firstColumn="1" w:firstRow="1" w:lastColumn="0" w:lastRow="0" w:noHBand="0" w:noVBand="1" w:val="04A0"/>
      </w:tblPr>
      <w:tblGrid>
        <w:gridCol w:w="3096"/>
        <w:gridCol w:w="7128"/>
      </w:tblGrid>
      <w:tr>
        <w:trPr>
          <w:cantSplit/>
          <w:tblHeader/>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pPr>
            <w:r>
              <w:rPr>
                <w:rFonts w:ascii="Calibri" w:hAnsi="Calibri"/>
                <w:b/>
                <w:color w:val="FFFFFF"/>
                <w:sz w:val="20"/>
              </w:rPr>
              <w:t>Šta je provereno</w:t>
            </w:r>
          </w:p>
        </w:tc>
        <w:tc>
          <w:tcPr>
            <w:tcW w:type="dxa" w:w="71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pPr>
            <w:r>
              <w:rPr>
                <w:rFonts w:ascii="Calibri" w:hAnsi="Calibri"/>
                <w:b/>
                <w:color w:val="FFFFFF"/>
                <w:sz w:val="20"/>
              </w:rPr>
              <w:t>Zatečeno stanje</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Izvorni i lokalni finansijski šifarnik</w:t>
            </w:r>
          </w:p>
        </w:tc>
        <w:tc>
          <w:tcPr>
            <w:tcW w:type="dxa" w:w="71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415 šifara; nema razlike u šifri, nazivu i centru u trenutku provere.</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Novi registar</w:t>
            </w:r>
          </w:p>
        </w:tc>
        <w:tc>
          <w:tcPr>
            <w:tcW w:type="dxa" w:w="71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13 centara, 56 jedinica i 220 poslova; bez duplih otvorenih šifara i bez čvorova bez roditelja.</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Van stabla</w:t>
            </w:r>
          </w:p>
        </w:tc>
        <w:tc>
          <w:tcPr>
            <w:tcW w:type="dxa" w:w="71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191 naučna šifra i 4 izuzetka. To nisu obrisani podaci.</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Aktivnost poslova u registru</w:t>
            </w:r>
          </w:p>
        </w:tc>
        <w:tc>
          <w:tcPr>
            <w:tcW w:type="dxa" w:w="71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88 aktivnih i 132 bez obrta u posmatranom prozoru; 66 razlika prema izvornoj aktivnosti.</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Veze i automatizacija</w:t>
            </w:r>
          </w:p>
        </w:tc>
        <w:tc>
          <w:tcPr>
            <w:tcW w:type="dxa" w:w="71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Postoje mape ka starim redovima. Poslovni modeli još nemaju vezu ka OrgNode; nema zakazanog uvoza registra.</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Provera koda</w:t>
            </w:r>
          </w:p>
        </w:tc>
        <w:tc>
          <w:tcPr>
            <w:tcW w:type="dxa" w:w="71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Svih 122 testa modula organizacija prolazi u testnoj bazi. To nije dokaz potpunog prelaska svih modula.</w:t>
            </w:r>
          </w:p>
        </w:tc>
      </w:tr>
    </w:tbl>
    <w:p>
      <w:pPr>
        <w:spacing w:after="20"/>
      </w:pPr>
    </w:p>
    <w:p>
      <w:pPr>
        <w:pStyle w:val="Heading2"/>
      </w:pPr>
      <w:r>
        <w:t>Pre odluke o prelasku potrebno je</w:t>
      </w:r>
    </w:p>
    <w:p>
      <w:pPr>
        <w:pStyle w:val="ListBullet"/>
        <w:spacing w:after="100"/>
      </w:pPr>
      <w:r>
        <w:t>Potvrditi značenje drugog nivoa, mapu centara i poseban tretman nauke, zaključnih i praznih šifara.</w:t>
      </w:r>
    </w:p>
    <w:p>
      <w:pPr>
        <w:pStyle w:val="ListBullet"/>
        <w:spacing w:after="100"/>
      </w:pPr>
      <w:r>
        <w:t>Odrediti ko održava naziv, pripadnost, profitnost i dozvolu novog unosa; razdvojiti to od podatka o obrtu.</w:t>
      </w:r>
    </w:p>
    <w:p>
      <w:pPr>
        <w:pStyle w:val="ListBullet"/>
        <w:spacing w:after="100"/>
      </w:pPr>
      <w:r>
        <w:t>Uvesti osvežavanje registra posle uspešne sinhronizacije i proveru novih ili promenjenih šifara.</w:t>
      </w:r>
    </w:p>
    <w:p>
      <w:pPr>
        <w:pStyle w:val="ListBullet"/>
        <w:spacing w:after="100"/>
      </w:pPr>
      <w:r>
        <w:t>Uporediti rezultate i prava po korisniku pre uključivanja novog čitanja; zadržati mogućnost povratka.</w:t>
      </w:r>
    </w:p>
    <w:p>
      <w:r>
        <w:rPr>
          <w:b w:val="0"/>
        </w:rPr>
        <w:t>Dokument je namenjen vlasniku sistema, finansijama, kadrovima i održavanju. Nalazi su provereni čitanjem povezane baze i radne kopije koda. Predložene izmene u nastavku nisu izvršene. [1–8]</w:t>
      </w:r>
    </w:p>
    <w:p>
      <w:r>
        <w:br w:type="page"/>
      </w:r>
    </w:p>
    <w:p>
      <w:pPr>
        <w:pStyle w:val="Heading1"/>
      </w:pPr>
      <w:r>
        <w:t>1 Šifre koje treba usaglasiti</w:t>
      </w:r>
    </w:p>
    <w:p>
      <w:r>
        <w:rPr>
          <w:b w:val="0"/>
        </w:rPr>
        <w:t>Sadašnja klasifikacija daje 220 poslovnih šifara, 191 naučnu i 4 izuzetka. Raniji broj 209 / 193 / 13 iz početnog popisa nije aktuelni obuhvat registra. Merodavan je novi kontrolni snimak, a ne mešanje brojeva iz različitih faza. [1, 2]</w:t>
      </w:r>
    </w:p>
    <w:p>
      <w:pPr>
        <w:pStyle w:val="Heading2"/>
      </w:pPr>
      <w:r>
        <w:t>Centar u starom šifarniku nije uvek isti kao centar registra</w:t>
      </w:r>
    </w:p>
    <w:tbl>
      <w:tblPr>
        <w:tblW w:type="auto" w:w="0"/>
        <w:jc w:val="center"/>
        <w:tblLayout w:type="fixed"/>
        <w:tblLook w:firstColumn="1" w:firstRow="1" w:lastColumn="0" w:lastRow="0" w:noHBand="0" w:noVBand="1" w:val="04A0"/>
      </w:tblPr>
      <w:tblGrid>
        <w:gridCol w:w="2592"/>
        <w:gridCol w:w="1224"/>
        <w:gridCol w:w="1152"/>
        <w:gridCol w:w="5256"/>
      </w:tblGrid>
      <w:tr>
        <w:trPr>
          <w:cantSplit/>
          <w:tblHeader/>
        </w:trPr>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pPr>
            <w:r>
              <w:rPr>
                <w:rFonts w:ascii="Calibri" w:hAnsi="Calibri"/>
                <w:b/>
                <w:color w:val="FFFFFF"/>
                <w:sz w:val="20"/>
              </w:rPr>
              <w:t>Šifre</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jc w:val="center"/>
            </w:pPr>
            <w:r>
              <w:rPr>
                <w:rFonts w:ascii="Calibri" w:hAnsi="Calibri"/>
                <w:b/>
                <w:color w:val="FFFFFF"/>
                <w:sz w:val="20"/>
              </w:rPr>
              <w:t>Stari centar</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jc w:val="center"/>
            </w:pPr>
            <w:r>
              <w:rPr>
                <w:rFonts w:ascii="Calibri" w:hAnsi="Calibri"/>
                <w:b/>
                <w:color w:val="FFFFFF"/>
                <w:sz w:val="20"/>
              </w:rPr>
              <w:t>Registar</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pPr>
            <w:r>
              <w:rPr>
                <w:rFonts w:ascii="Calibri" w:hAnsi="Calibri"/>
                <w:b/>
                <w:color w:val="FFFFFF"/>
                <w:sz w:val="20"/>
              </w:rPr>
              <w:t>Šta treba potvrditi</w:t>
            </w:r>
          </w:p>
        </w:tc>
      </w:tr>
      <w:tr>
        <w:trPr>
          <w:cantSplit/>
        </w:trPr>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110002</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prazno</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11</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Telo za tehničku ocenu pripada centru 11.</w:t>
            </w:r>
          </w:p>
        </w:tc>
      </w:tr>
      <w:tr>
        <w:trPr>
          <w:cantSplit/>
        </w:trPr>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200001 i 209001–209007</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2</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20</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Osam šifara poslovnog bloka. Uvesti mapu 2 → 20 za ovaj izvor.</w:t>
            </w:r>
          </w:p>
        </w:tc>
      </w:tr>
      <w:tr>
        <w:trPr>
          <w:cantSplit/>
        </w:trPr>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300001</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3</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30</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Posao centra 30; ne mešati ga sa svim naučnim šiframa.</w:t>
            </w:r>
          </w:p>
        </w:tc>
      </w:tr>
      <w:tr>
        <w:trPr>
          <w:cantSplit/>
        </w:trPr>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430001</w:t>
            </w:r>
          </w:p>
        </w:tc>
        <w:tc>
          <w:tcPr>
            <w:tcW w:type="dxa" w:w="122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prazno</w:t>
            </w:r>
          </w:p>
        </w:tc>
        <w:tc>
          <w:tcPr>
            <w:tcW w:type="dxa" w:w="11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43</w:t>
            </w:r>
          </w:p>
        </w:tc>
        <w:tc>
          <w:tcPr>
            <w:tcW w:type="dxa" w:w="52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Amortizacija centra 43; sačuvati izvornu praznu vrednost.</w:t>
            </w:r>
          </w:p>
        </w:tc>
      </w:tr>
    </w:tbl>
    <w:p>
      <w:pPr>
        <w:spacing w:after="20"/>
      </w:pPr>
    </w:p>
    <w:p>
      <w:r>
        <w:rPr>
          <w:b w:val="0"/>
        </w:rPr>
        <w:t>Ovih 11 razlika već postoji između dva načina grupisanja. Popravka samo lokalnog polja center nije trajno rešenje: finansijska sinhronizacija ponovo preuzima blok iz starog ERP-a. Potrebna je potvrđena mapa izvornog i kanonskog centra, uz jasno pravilo koji prikaz koristi koji centar. [3]</w:t>
      </w:r>
    </w:p>
    <w:p>
      <w:pPr>
        <w:pStyle w:val="Heading2"/>
      </w:pPr>
      <w:r>
        <w:t>Posebne šifre</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pPr>
            <w:r>
              <w:rPr>
                <w:rFonts w:ascii="Calibri" w:hAnsi="Calibri"/>
                <w:b/>
                <w:color w:val="FFFFFF"/>
                <w:sz w:val="20"/>
              </w:rPr>
              <w:t>Šifra ili skup</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pPr>
            <w:r>
              <w:rPr>
                <w:rFonts w:ascii="Calibri" w:hAnsi="Calibri"/>
                <w:b/>
                <w:color w:val="FFFFFF"/>
                <w:sz w:val="20"/>
              </w:rPr>
              <w:t>Dogovor potreban pre prelaska</w:t>
            </w:r>
          </w:p>
        </w:tc>
      </w:tr>
      <w:tr>
        <w:trPr>
          <w:cantSplit/>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191 naučna šifra</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Zadržati poseban registar veze nosilac–projekat, uz mapu na naučni blok 30. Ne praviti da isti projekat postane više različitih poslova samo zato što ima više nosilaca.</w:t>
            </w:r>
          </w:p>
        </w:tc>
      </w:tr>
      <w:tr>
        <w:trPr>
          <w:cantSplit/>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111111</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Bez naziva u šifarniku; 584 knjiženja, uključujući zaključak. Ne sme automatski u centar 11. Novčani tokovi ovu šifru koriste i kao tehničku zamenu za praznu šifru; to pravilo ne menjati usput.</w:t>
            </w:r>
          </w:p>
        </w:tc>
      </w:tr>
      <w:tr>
        <w:trPr>
          <w:cantSplit/>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432</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Kratka neaktivna šifra. Potvrditi značenje i ostaviti istoriju čitljivom.</w:t>
            </w:r>
          </w:p>
        </w:tc>
      </w:tr>
      <w:tr>
        <w:trPr>
          <w:cantSplit/>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vranj i vranjs</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Tekstualne šifre. Potvrditi da li su zasebni poslovi ili aliasi; isti naziv nije dovoljan dokaz za spajanje.</w:t>
            </w:r>
          </w:p>
        </w:tc>
      </w:tr>
      <w:tr>
        <w:trPr>
          <w:cantSplit/>
        </w:trPr>
        <w:tc>
          <w:tcPr>
            <w:tcW w:type="dxa" w:w="22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960001</w:t>
            </w:r>
          </w:p>
        </w:tc>
        <w:tc>
          <w:tcPr>
            <w:tcW w:type="dxa" w:w="79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„Test centar” postoji samo u starom šifarniku Flote. Isključiti iz novih izbora tek posle provere svih veza, bez brisanja istorije.</w:t>
            </w:r>
          </w:p>
        </w:tc>
      </w:tr>
    </w:tbl>
    <w:p>
      <w:pPr>
        <w:spacing w:after="20"/>
      </w:pPr>
    </w:p>
    <w:p>
      <w:r>
        <w:rPr>
          <w:b w:val="0"/>
        </w:rPr>
        <w:t>Svih 56 jedinica drugog nivoa još nema potvrđen naziv. Segment je izveden iz trećeg znaka šifre, a ne iz potvrđene sistematizacije. Potrebni su naziv, odgovorno lice za odobrenje i veza prema HR oznaci. U Floti 174 od 339 šifara ima završne razmake: normalizovati pri razrešavanju, čuvati sirovu vrednost i vodeće nule. [1, 2]</w:t>
      </w:r>
    </w:p>
    <w:p>
      <w:r>
        <w:br w:type="page"/>
      </w:r>
    </w:p>
    <w:p>
      <w:pPr>
        <w:pStyle w:val="Heading1"/>
      </w:pPr>
      <w:r>
        <w:t>2 Koliko podataka može da se poveže</w:t>
      </w:r>
    </w:p>
    <w:p>
      <w:r>
        <w:rPr>
          <w:b w:val="0"/>
        </w:rPr>
        <w:t>Tabela pokazuje pokrivenost postojećih šifara otvorenim mapiranjem u novi registar. „Povezivo” ne znači da je migracija modela već urađena. Broje se redovi, ne vozila, ljudi ili jedinstveni dokumenti. [1]</w:t>
      </w:r>
    </w:p>
    <w:tbl>
      <w:tblPr>
        <w:tblW w:type="auto" w:w="0"/>
        <w:jc w:val="center"/>
        <w:tblLayout w:type="fixed"/>
        <w:tblLook w:firstColumn="1" w:firstRow="1" w:lastColumn="0" w:lastRow="0" w:noHBand="0" w:noVBand="1" w:val="04A0"/>
      </w:tblPr>
      <w:tblGrid>
        <w:gridCol w:w="4464"/>
        <w:gridCol w:w="1440"/>
        <w:gridCol w:w="1440"/>
        <w:gridCol w:w="1440"/>
        <w:gridCol w:w="1440"/>
      </w:tblGrid>
      <w:tr>
        <w:trPr>
          <w:cantSplit/>
          <w:tblHeader/>
        </w:trPr>
        <w:tc>
          <w:tcPr>
            <w:tcW w:type="dxa" w:w="44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pPr>
            <w:r>
              <w:rPr>
                <w:rFonts w:ascii="Calibri" w:hAnsi="Calibri"/>
                <w:b/>
                <w:color w:val="FFFFFF"/>
                <w:sz w:val="20"/>
              </w:rPr>
              <w:t>Evidencija</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jc w:val="center"/>
            </w:pPr>
            <w:r>
              <w:rPr>
                <w:rFonts w:ascii="Calibri" w:hAnsi="Calibri"/>
                <w:b/>
                <w:color w:val="FFFFFF"/>
                <w:sz w:val="20"/>
              </w:rPr>
              <w:t>Ukupno</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jc w:val="center"/>
            </w:pPr>
            <w:r>
              <w:rPr>
                <w:rFonts w:ascii="Calibri" w:hAnsi="Calibri"/>
                <w:b/>
                <w:color w:val="FFFFFF"/>
                <w:sz w:val="20"/>
              </w:rPr>
              <w:t>Povezivo</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jc w:val="center"/>
            </w:pPr>
            <w:r>
              <w:rPr>
                <w:rFonts w:ascii="Calibri" w:hAnsi="Calibri"/>
                <w:b/>
                <w:color w:val="FFFFFF"/>
                <w:sz w:val="20"/>
              </w:rPr>
              <w:t>Prazno</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jc w:val="center"/>
            </w:pPr>
            <w:r>
              <w:rPr>
                <w:rFonts w:ascii="Calibri" w:hAnsi="Calibri"/>
                <w:b/>
                <w:color w:val="FFFFFF"/>
                <w:sz w:val="20"/>
              </w:rPr>
              <w:t>Van mape</w:t>
            </w:r>
          </w:p>
        </w:tc>
      </w:tr>
      <w:tr>
        <w:trPr>
          <w:cantSplit/>
        </w:trPr>
        <w:tc>
          <w:tcPr>
            <w:tcW w:type="dxa" w:w="44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Aktivna finansijska knjiženja</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161.137</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145.312</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13.176</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2.649</w:t>
            </w:r>
          </w:p>
        </w:tc>
      </w:tr>
      <w:tr>
        <w:trPr>
          <w:cantSplit/>
        </w:trPr>
        <w:tc>
          <w:tcPr>
            <w:tcW w:type="dxa" w:w="44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Knjiženja potraživanja</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12.445</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12.445</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0</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0</w:t>
            </w:r>
          </w:p>
        </w:tc>
      </w:tr>
      <w:tr>
        <w:trPr>
          <w:cantSplit/>
        </w:trPr>
        <w:tc>
          <w:tcPr>
            <w:tcW w:type="dxa" w:w="44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Pozicije tekućeg snimka potraživanja</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1.586</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1.586</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0</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0</w:t>
            </w:r>
          </w:p>
        </w:tc>
      </w:tr>
      <w:tr>
        <w:trPr>
          <w:cantSplit/>
        </w:trPr>
        <w:tc>
          <w:tcPr>
            <w:tcW w:type="dxa" w:w="44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Ranija evidencija goriva</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16.118</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16.118</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0</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0</w:t>
            </w:r>
          </w:p>
        </w:tc>
      </w:tr>
      <w:tr>
        <w:trPr>
          <w:cantSplit/>
        </w:trPr>
        <w:tc>
          <w:tcPr>
            <w:tcW w:type="dxa" w:w="44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Lizing i najam</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23</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23</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0</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0</w:t>
            </w:r>
          </w:p>
        </w:tc>
      </w:tr>
      <w:tr>
        <w:trPr>
          <w:cantSplit/>
        </w:trPr>
        <w:tc>
          <w:tcPr>
            <w:tcW w:type="dxa" w:w="44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Dodele šifre vozilu</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204</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204</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0</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0</w:t>
            </w:r>
          </w:p>
        </w:tc>
      </w:tr>
      <w:tr>
        <w:trPr>
          <w:cantSplit/>
        </w:trPr>
        <w:tc>
          <w:tcPr>
            <w:tcW w:type="dxa" w:w="44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Putni nalozi za službena putovanja</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3.663</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3.661</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0</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2</w:t>
            </w:r>
          </w:p>
        </w:tc>
      </w:tr>
      <w:tr>
        <w:trPr>
          <w:cantSplit/>
        </w:trPr>
        <w:tc>
          <w:tcPr>
            <w:tcW w:type="dxa" w:w="44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Nalozi zaduženja vozila</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241</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0</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241</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0</w:t>
            </w:r>
          </w:p>
        </w:tc>
      </w:tr>
      <w:tr>
        <w:trPr>
          <w:cantSplit/>
        </w:trPr>
        <w:tc>
          <w:tcPr>
            <w:tcW w:type="dxa" w:w="44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Predmeti nabavke</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242</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242</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0</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0</w:t>
            </w:r>
          </w:p>
        </w:tc>
      </w:tr>
      <w:tr>
        <w:trPr>
          <w:cantSplit/>
        </w:trPr>
        <w:tc>
          <w:tcPr>
            <w:tcW w:type="dxa" w:w="44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Fakture nabavke po primarnoj vezi</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3.181</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279</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2.902</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0</w:t>
            </w:r>
          </w:p>
        </w:tc>
      </w:tr>
      <w:tr>
        <w:trPr>
          <w:cantSplit/>
        </w:trPr>
        <w:tc>
          <w:tcPr>
            <w:tcW w:type="dxa" w:w="44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Dodatne veze faktura sa šiframa</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1.188</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1.178</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0</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10</w:t>
            </w:r>
          </w:p>
        </w:tc>
      </w:tr>
      <w:tr>
        <w:trPr>
          <w:cantSplit/>
        </w:trPr>
        <w:tc>
          <w:tcPr>
            <w:tcW w:type="dxa" w:w="44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Stavke radnih lista</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348</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9</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339</w:t>
            </w:r>
          </w:p>
        </w:tc>
        <w:tc>
          <w:tcPr>
            <w:tcW w:type="dxa" w:w="14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jc w:val="center"/>
            </w:pPr>
            <w:r>
              <w:rPr>
                <w:rFonts w:ascii="Calibri" w:hAnsi="Calibri"/>
                <w:sz w:val="20"/>
              </w:rPr>
              <w:t>0</w:t>
            </w:r>
          </w:p>
        </w:tc>
      </w:tr>
    </w:tbl>
    <w:p>
      <w:pPr>
        <w:spacing w:after="20"/>
      </w:pPr>
    </w:p>
    <w:p>
      <w:pPr>
        <w:pStyle w:val="Heading2"/>
      </w:pPr>
      <w:r>
        <w:t>Finansijska knjiženja ne smeju nestati iz izveštaja</w:t>
      </w:r>
    </w:p>
    <w:p>
      <w:r>
        <w:rPr>
          <w:b w:val="0"/>
        </w:rPr>
        <w:t>Od 161.137 aktivnih redova, 145.312 je povezivo sa stablom. Praznu šifru ima 13.176 redova, naučne šifre 2.065, a šifru 111111 još 584. Ukupno knjiženje iznosi 31.637.166.191,82 RSD na duguje i isti iznos na potražuje. To su kontrolni zbirovi svih knjiženja 2025–2026, ne prihodi niti rashodi.</w:t>
      </w:r>
    </w:p>
    <w:p>
      <w:r>
        <w:rPr>
          <w:b w:val="0"/>
        </w:rPr>
        <w:t>Uslov za prelazak nije da svaki red dobije posao. Uslov je da svaki red ostane u odgovarajućem obuhvatu: poslovni, naučni, tehnički ili bez šifre. Obavezna veza ka stablu ili unutrašnje spajanje tabela moglo bi da sakrije 15.825 redova.</w:t>
      </w:r>
    </w:p>
    <w:p>
      <w:pPr>
        <w:pStyle w:val="Heading2"/>
      </w:pPr>
      <w:r>
        <w:t>Operativni izuzeci</w:t>
      </w:r>
    </w:p>
    <w:p>
      <w:r>
        <w:rPr>
          <w:b w:val="0"/>
        </w:rPr>
        <w:t>Dva putna naloga koriste naučnu šifru 333331. Deset dodatnih veza faktura nabavke koristi 313331 (7 veza) i 3177001 (3 veze). Zbog toga ni pilot Nabavke nije potpuno pokriven samo poslovnim stablom. Mora da zadrži naučne šifre ili da dobije potvrđenu posebnu mapu.</w:t>
      </w:r>
    </w:p>
    <w:p>
      <w:r>
        <w:rPr>
          <w:b w:val="0"/>
        </w:rPr>
        <w:t>Prazna šifra na 241 nalogu zaduženja vozila nije sama po sebi greška: trošak vozila prati istoriju dodela JobCode, a ne šifru naloga. Prazna primarna veza na 2.902 fakture nabavke takođe ne znači da sve nemaju organizaciju; postoje dodatne veze koje se moraju proveravati zajedno. Ne popunjavati praznine nagađanjem.</w:t>
      </w:r>
    </w:p>
    <w:p>
      <w:r>
        <w:br w:type="page"/>
      </w:r>
    </w:p>
    <w:p>
      <w:pPr>
        <w:pStyle w:val="Heading1"/>
      </w:pPr>
      <w:r>
        <w:t>3 Kako sinhronizacija radi i šta treba dopuniti</w:t>
      </w:r>
    </w:p>
    <w:p>
      <w:r>
        <w:rPr>
          <w:b w:val="0"/>
        </w:rPr>
        <w:t>Novi registar trenutno čita lokalne podatke koje su prethodno preuzeli drugi moduli. Promena u registru ne menja stari ERP. Redovna sinhronizacija ne poziva uvoz organizacije niti osvežavanje nalaza o obrtu. U bazi postoje dva završena uvoza od 21.09; drugi nije napravio nove čvorove ni verzije. [1–4]</w:t>
      </w:r>
    </w:p>
    <w:tbl>
      <w:tblPr>
        <w:tblW w:type="auto" w:w="0"/>
        <w:jc w:val="center"/>
        <w:tblLayout w:type="fixed"/>
        <w:tblLook w:firstColumn="1" w:firstRow="1" w:lastColumn="0" w:lastRow="0" w:noHBand="0" w:noVBand="1" w:val="04A0"/>
      </w:tblPr>
      <w:tblGrid>
        <w:gridCol w:w="1512"/>
        <w:gridCol w:w="4032"/>
        <w:gridCol w:w="4680"/>
      </w:tblGrid>
      <w:tr>
        <w:trPr>
          <w:cantSplit/>
          <w:tblHeader/>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pPr>
            <w:r>
              <w:rPr>
                <w:rFonts w:ascii="Calibri" w:hAnsi="Calibri"/>
                <w:b/>
                <w:color w:val="FFFFFF"/>
                <w:sz w:val="20"/>
              </w:rPr>
              <w:t>Tok</w:t>
            </w:r>
          </w:p>
        </w:tc>
        <w:tc>
          <w:tcPr>
            <w:tcW w:type="dxa" w:w="40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jc w:val="center"/>
            </w:pPr>
            <w:r>
              <w:rPr>
                <w:rFonts w:ascii="Calibri" w:hAnsi="Calibri"/>
                <w:b/>
                <w:color w:val="FFFFFF"/>
                <w:sz w:val="20"/>
              </w:rPr>
              <w:t>Sada</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pPr>
            <w:r>
              <w:rPr>
                <w:rFonts w:ascii="Calibri" w:hAnsi="Calibri"/>
                <w:b/>
                <w:color w:val="FFFFFF"/>
                <w:sz w:val="20"/>
              </w:rPr>
              <w:t>Potrebna dopuna</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Finansije</w:t>
            </w:r>
          </w:p>
        </w:tc>
        <w:tc>
          <w:tcPr>
            <w:tcW w:type="dxa" w:w="40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posao i nalog_z → FinanceJob i LedgerEntry. Tekuća godina svakog sata u :20; sve godine u 03:50.</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Posle uspešne objave podataka pokrenuti razrešavanje registra. Sačuvati izvornu šifru i centar; ne prepisivati ih novim značenjem.</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Stari šifarnik Flote</w:t>
            </w:r>
          </w:p>
        </w:tc>
        <w:tc>
          <w:tcPr>
            <w:tcW w:type="dxa" w:w="40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v_organizationalunit → OrganizationalUnit u 01:30. Čita 338 redova; 3 imaju prazno obavezno polje i sada se preskaču.</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Zadržati kompatibilnost starih ID-eva. Dodati vezu u registar i vidljiv izveštaj preskočenih redova; ne oslanjati se samo na ovaj nepotpun pogled.</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Dodele vozila</w:t>
            </w:r>
          </w:p>
        </w:tc>
        <w:tc>
          <w:tcPr>
            <w:tcW w:type="dxa" w:w="40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update_job_codes_from_view čita sif_pos_trenutno i traži stari OrganizationalUnit.</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Pri prelasku menjati razrešavanje šifre. Zakazani fetch_job_codes sada osvežava šifarnik, ne poziva ovu funkciju dodele.</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Registar organizacije</w:t>
            </w:r>
          </w:p>
        </w:tc>
        <w:tc>
          <w:tcPr>
            <w:tcW w:type="dxa" w:w="40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Ručna komanda uvezi_organizaciju; ponovljiv uvoz po spoljnjoj šifri.</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Uvesti zadatak posle uspešne sinhronizacije, zaključavanje, redosled i upozorenje za nove ili neprepoznate šifre.</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Aktivnost po obrtu</w:t>
            </w:r>
          </w:p>
        </w:tc>
        <w:tc>
          <w:tcPr>
            <w:tcW w:type="dxa" w:w="40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Posebna komanda oznaci_neaktivne i sačuvan nalaz. Nalaz ima prednost pri sledećem uvozu.</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Osvežavati tek iz potpunog snimka; prikazivati starost nalaza. Novi promet mora da pokrene novo merenje.</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Nabavka i Potraživanja</w:t>
            </w:r>
          </w:p>
        </w:tc>
        <w:tc>
          <w:tcPr>
            <w:tcW w:type="dxa" w:w="40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Koriste stare veze, tekstualne šifre i svoje snimke izvora.</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Uvesti zajedničko razrešavanje posle objave snimka, bez menjanja izvornih ključeva i pravila uparivanja.</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Kadrovi i zarade</w:t>
            </w:r>
          </w:p>
        </w:tc>
        <w:tc>
          <w:tcPr>
            <w:tcW w:type="dxa" w:w="403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HR uvoz čita svoje OJ i zanimanja; zarade koriste sif_pos.</w:t>
            </w:r>
          </w:p>
        </w:tc>
        <w:tc>
          <w:tcPr>
            <w:tcW w:type="dxa" w:w="468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Zadržati HR šifarnik zanimanja. Posebno mapirati HR OJ i poslovne šifre obračuna zarada.</w:t>
            </w:r>
          </w:p>
        </w:tc>
      </w:tr>
    </w:tbl>
    <w:p>
      <w:pPr>
        <w:spacing w:after="20"/>
      </w:pPr>
    </w:p>
    <w:p>
      <w:pPr>
        <w:pStyle w:val="Heading2"/>
      </w:pPr>
      <w:r>
        <w:t>Odgovor na pitanje da li će sinhronizacija raditi</w:t>
      </w:r>
    </w:p>
    <w:p>
      <w:r>
        <w:rPr>
          <w:b w:val="0"/>
        </w:rPr>
        <w:t>Da, u sadašnjem paralelnom režimu. Ne, nije dovoljno samo prebaciti forme na novi registar: novi izbor mogao bi da nema odgovarajuću staru šifru, a sledeći uvoz mogao bi da vrati staru pripadnost ili napravi novi identitet. Potrebno je prilagoditi povezivanje i redosled, ne prepisivati sve obračune.</w:t>
      </w:r>
    </w:p>
    <w:p>
      <w:r>
        <w:rPr>
          <w:b w:val="0"/>
        </w:rPr>
        <w:t>Predlog toka: uspešno preuzimanje i kontrola izvora → objava lokalnog snimka → osvežavanje registra i mapiranja → provera pokrivenosti → merenje aktivnosti → povezivanje modula. Greška u jednom koraku mora biti vidljiva. Ne praviti ciklus uzajamnog prepisivanja starog i novog šifarnika.</w:t>
      </w:r>
    </w:p>
    <w:p>
      <w:r>
        <w:br w:type="page"/>
      </w:r>
    </w:p>
    <w:p>
      <w:pPr>
        <w:pStyle w:val="Heading1"/>
      </w:pPr>
      <w:r>
        <w:t>4 Izmene koje su potrebne u kodu pre prebacivanja</w:t>
      </w:r>
    </w:p>
    <w:p>
      <w:pPr>
        <w:pStyle w:val="Heading2"/>
      </w:pPr>
      <w:r>
        <w:t>Jedno mesto za razrešavanje organizacije</w:t>
      </w:r>
    </w:p>
    <w:p>
      <w:r>
        <w:rPr>
          <w:b w:val="0"/>
        </w:rPr>
        <w:t>Dodati servis koji prima firmu, izvor, sirovu šifru i datum dokumenta i vraća stalni čvor i važeću verziju ili jasno označen nerešen slučaj. Svi moduli treba da koriste isti servis. U njemu razdvojiti poslovno stablo, nauku, tehničke šifre i dokumente bez šifre. Sadašnji job_code_to_node i node_center_map koriste samo otvorena mapiranja i tekuće roditelje. [2]</w:t>
      </w:r>
    </w:p>
    <w:p>
      <w:pPr>
        <w:pStyle w:val="Heading2"/>
      </w:pPr>
      <w:r>
        <w:t>Promena šifre mora da očuva identitet</w:t>
      </w:r>
    </w:p>
    <w:p>
      <w:r>
        <w:rPr>
          <w:b w:val="0"/>
        </w:rPr>
        <w:t>Uvoz nalazi čvor po tekstu spoljne šifre. Kada se šifra u izvoru promeni, današnji kod pravi novi čvor; to je potvrđeno i postojećim testom. Potreban je kontrolisan postupak promene: odobriti da je to isti posao, povezati novu šifru sa istim OrgNode, zatvoriti staro mapiranje i sačuvati istoriju. Ne spajati po sličnosti naziva. [2, 8]</w:t>
      </w:r>
    </w:p>
    <w:p>
      <w:pPr>
        <w:pStyle w:val="Heading2"/>
      </w:pPr>
      <w:r>
        <w:t>Ko održava pripadnost i nazive</w:t>
      </w:r>
    </w:p>
    <w:p>
      <w:r>
        <w:rPr>
          <w:b w:val="0"/>
        </w:rPr>
        <w:t>Importer ponovo izvodi roditelja iz šifre, naziv posla iz FinanceJob, a naziv drugog nivoa postavlja na prazno. Zato ručno sređivanje samo u registru nije zaštićeno od sledećeg uvoza. Pre novog editora odrediti koja polja vodi stari ERP, koja novi registar i kako se rešava konflikt. Finansijski koeficijenti ZT ostaju odvojeni od oznake profitnosti. [2, 3]</w:t>
      </w:r>
    </w:p>
    <w:p>
      <w:pPr>
        <w:pStyle w:val="Heading2"/>
      </w:pPr>
      <w:r>
        <w:t>Zaštita vremenskih verzija</w:t>
      </w:r>
    </w:p>
    <w:p>
      <w:r>
        <w:rPr>
          <w:b w:val="0"/>
        </w:rPr>
        <w:t>Postoje stalni ID i periodi važenja, ali pre punog prelaska treba sprečiti preklapanja zatvorenih verzija, duple pune šifre u istoj firmi i periodu i nevažeće roditelje. Validacija clean nije automatska za svaki save. Uvoz sa datumom koji je jednak ili raniji od početka tekuće verzije sada menja postojeći zapis; povratno datiranje mora imati poseban kontrolisan postupak. [2]</w:t>
      </w:r>
    </w:p>
    <w:p>
      <w:pPr>
        <w:pStyle w:val="Heading2"/>
      </w:pPr>
      <w:r>
        <w:t>Potpun snimak i evidencija grešaka</w:t>
      </w:r>
    </w:p>
    <w:p>
      <w:r>
        <w:rPr>
          <w:b w:val="0"/>
        </w:rPr>
        <w:t>Merenje obrta i kontrolni izveštaj trenutno ne filtriraju LedgerEntry.active. Danas nema neaktivnih lokalnih redova, ali posle brisanja u izvoru takvi redovi mogu ostati lokalno označeni kao uklonjeni i ipak uticati na aktivnost. Pre automatizacije uskladiti obuhvat sa finansijskim izveštajima. Proveriti i čuvanje neuspelog OrgImportRun izvan transakcije koja se poništava: trenutno re-raise vraća i taj upis. [2, 3]</w:t>
      </w:r>
    </w:p>
    <w:p>
      <w:pPr>
        <w:pStyle w:val="Heading2"/>
      </w:pPr>
      <w:r>
        <w:t>Povezivanje postojećih modela</w:t>
      </w:r>
    </w:p>
    <w:p>
      <w:r>
        <w:rPr>
          <w:b w:val="0"/>
        </w:rPr>
        <w:t>Dodavati opcione veze uz očuvane stare ID-eve i sirove šifre. Sada postoji 220 veza ka FinanceJob i 144 ka OrganizationalUnit, ali u poslovnim modelima još nema FK ka OrgNode. Za svaku novu sinhronizaciju, ručni unos, izmenu, uvoz i izvoz dopuniti mapu; jednokratno popunjavanje postojećih redova nije dovoljno. [1, 2]</w:t>
      </w:r>
    </w:p>
    <w:p>
      <w:r>
        <w:br w:type="page"/>
      </w:r>
    </w:p>
    <w:p>
      <w:pPr>
        <w:pStyle w:val="Heading1"/>
      </w:pPr>
      <w:r>
        <w:t>5 Aktivnost i istorija ne smeju imati dvostruko značenje</w:t>
      </w:r>
    </w:p>
    <w:p>
      <w:r>
        <w:rPr>
          <w:b w:val="0"/>
        </w:rPr>
        <w:t>U registru je aktivno 88 od 220 poslova prema obrtu od 21.09.2025. do 21.09.2026. Za 132 nema obrta. Sa izvorom se razlikuje 66 poslova: 61 je u izvoru aktivan a bez obrta, dok 5 ima obrt iako je u izvoru neaktivan. Nalaz se čuva posebno i pri ponovnom uvozu određuje aktivnost u oba smera. Stariji komentar modela koji kaže „samo gasi” ne opisuje stvarno ponašanje. [1, 2]</w:t>
      </w:r>
    </w:p>
    <w:p>
      <w:pPr>
        <w:pStyle w:val="Heading2"/>
      </w:pPr>
      <w:r>
        <w:t>Pet šifara koje se lokalno aktiviraju uprkos oznaci izvora</w:t>
      </w:r>
    </w:p>
    <w:p>
      <w:r>
        <w:rPr>
          <w:b w:val="0"/>
        </w:rPr>
        <w:t>412113, 413114, 442902, 444111 i 707003. Potrebna je odluka da li „ima obrt” znači samo vidljivo u analizi ili i dozvoljeno za novo zaduženje i knjiženje. Istorijska korekcija, završno knjiženje ili saldo ne moraju značiti da je posao operativno ponovo otvoren.</w:t>
      </w:r>
    </w:p>
    <w:p>
      <w:pPr>
        <w:pStyle w:val="Heading2"/>
      </w:pPr>
      <w:r>
        <w:t>Šifre aktivne u izvoru bez obrta u izabranom prozoru</w:t>
      </w:r>
    </w:p>
    <w:p>
      <w:r>
        <w:rPr>
          <w:b w:val="0"/>
        </w:rPr>
        <w:t>209003, 209006, 209007, 414114, 414115, 416113, 416114, 421901, 421902, 421903, 422113, 422114, 429999, 430111, 430999, 431112, 431113, 431115, 431117, 431118, 431131, 431132, 432112, 432115, 436333, 437333, 441903, 441905, 441906, 441908, 441909, 441911, 441912, 441914, 441915, 441916, 442903, 442905, 442906, 442907, 443906, 443909, 443910, 449999, 606001, 606004, 606005, 606006, 606008, 606009, 813008, 822001, 823005, 824007, 824011, 824012, 825008, 825012, 825013, 825014, 825016.</w:t>
      </w:r>
    </w:p>
    <w:p>
      <w:r>
        <w:rPr>
          <w:b w:val="0"/>
        </w:rPr>
        <w:t>Ovo je spisak za potvrdu statusa, ne nalog za brisanje. Nova šifra može biti otvorena pre prvog prometa. Predlog je da odvojeno postoje izvorni status, nalaz o obrtu i poslovna dozvola novog unosa. Ako ostane sadašnje pravilo aktivnosti po obrtu, mora biti izričito potvrđeno šta radi izbor šifre u svakom modulu.</w:t>
      </w:r>
    </w:p>
    <w:p>
      <w:pPr>
        <w:pStyle w:val="Heading2"/>
      </w:pPr>
      <w:r>
        <w:t>Šta znači istorija u novom registru</w:t>
      </w:r>
    </w:p>
    <w:p>
      <w:r>
        <w:rPr>
          <w:b w:val="0"/>
        </w:rPr>
        <w:t>Svih 289 sadašnjih verzija počinje 21.09.2026. Nema rekonstruisanih verzija za ranije godine. To je migracioni snimak, a ne dokaz organizacije koja je važila 2025. ili početkom 2026. [1]</w:t>
      </w:r>
    </w:p>
    <w:p>
      <w:r>
        <w:rPr>
          <w:b w:val="0"/>
        </w:rPr>
        <w:t>Za starije dokumente mora se izabrati i označiti jedno pravilo: izveštaj po tadašnjoj organizaciji uz potvrđenu istorijsku mapu, ili pregled po današnjoj organizaciji uz sačuvanu izvornu pripadnost. Ne dodeljivati datum 01.01.2025. svim verzijama samo da bi tehničko povezivanje prošlo.</w:t>
      </w:r>
    </w:p>
    <w:p>
      <w:r>
        <w:rPr>
          <w:b w:val="0"/>
        </w:rPr>
        <w:t>Razdvojiti i datum promene organizacije od datuma sinhronizacije. Današnje preuzimanje ranije izvršene promene ne dokazuje da je promena nastala danas. Postupak izmene mora da zabeleži datum važenja, razlog i ko je odluku odobrio.</w:t>
      </w:r>
    </w:p>
    <w:p>
      <w:r>
        <w:br w:type="page"/>
      </w:r>
    </w:p>
    <w:p>
      <w:pPr>
        <w:pStyle w:val="Heading1"/>
      </w:pPr>
      <w:r>
        <w:t>6 Dozvole i kadrovske oznake</w:t>
      </w:r>
    </w:p>
    <w:tbl>
      <w:tblPr>
        <w:tblW w:type="auto" w:w="0"/>
        <w:jc w:val="center"/>
        <w:tblLayout w:type="fixed"/>
        <w:tblLook w:firstColumn="1" w:firstRow="1" w:lastColumn="0" w:lastRow="0" w:noHBand="0" w:noVBand="1" w:val="04A0"/>
      </w:tblPr>
      <w:tblGrid>
        <w:gridCol w:w="3240"/>
        <w:gridCol w:w="6984"/>
      </w:tblGrid>
      <w:tr>
        <w:trPr>
          <w:cantSplit/>
          <w:tblHeader/>
        </w:trPr>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pPr>
            <w:r>
              <w:rPr>
                <w:rFonts w:ascii="Calibri" w:hAnsi="Calibri"/>
                <w:b/>
                <w:color w:val="FFFFFF"/>
                <w:sz w:val="20"/>
              </w:rPr>
              <w:t>Provera korisnika</w:t>
            </w:r>
          </w:p>
        </w:tc>
        <w:tc>
          <w:tcPr>
            <w:tcW w:type="dxa" w:w="69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jc w:val="center"/>
            </w:pPr>
            <w:r>
              <w:rPr>
                <w:rFonts w:ascii="Calibri" w:hAnsi="Calibri"/>
                <w:b/>
                <w:color w:val="FFFFFF"/>
                <w:sz w:val="20"/>
              </w:rPr>
              <w:t>Nalaz</w:t>
            </w:r>
          </w:p>
        </w:tc>
      </w:tr>
      <w:tr>
        <w:trPr>
          <w:cantSplit/>
        </w:trPr>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Korisnici</w:t>
            </w:r>
          </w:p>
        </w:tc>
        <w:tc>
          <w:tcPr>
            <w:tcW w:type="dxa" w:w="69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323 aktivna, od toga 3 superkorisnika.</w:t>
            </w:r>
          </w:p>
        </w:tc>
      </w:tr>
      <w:tr>
        <w:trPr>
          <w:cantSplit/>
        </w:trPr>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Obuhvat preko teksta</w:t>
            </w:r>
          </w:p>
        </w:tc>
        <w:tc>
          <w:tcPr>
            <w:tcW w:type="dxa" w:w="69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311 korisnika koristi allowed_center_codes.</w:t>
            </w:r>
          </w:p>
        </w:tc>
      </w:tr>
      <w:tr>
        <w:trPr>
          <w:cantSplit/>
        </w:trPr>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Obuhvat preko veza ka OJ</w:t>
            </w:r>
          </w:p>
        </w:tc>
        <w:tc>
          <w:tcPr>
            <w:tcW w:type="dxa" w:w="69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3 korisnika; nijedan nema istovremeno i tekstualni obuhvat.</w:t>
            </w:r>
          </w:p>
        </w:tc>
      </w:tr>
      <w:tr>
        <w:trPr>
          <w:cantSplit/>
        </w:trPr>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Bez obuhvata</w:t>
            </w:r>
          </w:p>
        </w:tc>
        <w:tc>
          <w:tcPr>
            <w:tcW w:type="dxa" w:w="69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9 korisnika; odluka se donosi po korisniku i poslovnoj ulozi.</w:t>
            </w:r>
          </w:p>
        </w:tc>
      </w:tr>
      <w:tr>
        <w:trPr>
          <w:cantSplit/>
        </w:trPr>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Oznake 2 i 3</w:t>
            </w:r>
          </w:p>
        </w:tc>
        <w:tc>
          <w:tcPr>
            <w:tcW w:type="dxa" w:w="69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2 koristi 5 korisnika, 3 koristi 3 korisnika. To je 6 različitih korisnika, ne 8, zbog preklapanja.</w:t>
            </w:r>
          </w:p>
        </w:tc>
      </w:tr>
      <w:tr>
        <w:trPr>
          <w:cantSplit/>
        </w:trPr>
        <w:tc>
          <w:tcPr>
            <w:tcW w:type="dxa" w:w="324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Uloge i prava</w:t>
            </w:r>
          </w:p>
        </w:tc>
        <w:tc>
          <w:tcPr>
            <w:tcW w:type="dxa" w:w="69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17 uloga i 448 kodova dozvola; 3 korisnika nema ulogu.</w:t>
            </w:r>
          </w:p>
        </w:tc>
      </w:tr>
    </w:tbl>
    <w:p>
      <w:pPr>
        <w:spacing w:after="20"/>
      </w:pPr>
    </w:p>
    <w:p>
      <w:pPr>
        <w:pStyle w:val="Heading2"/>
      </w:pPr>
      <w:r>
        <w:t>Ne menjati samo šifru obuhvata na korisniku</w:t>
      </w:r>
    </w:p>
    <w:p>
      <w:r>
        <w:rPr>
          <w:b w:val="0"/>
        </w:rPr>
        <w:t>Finansije filtriraju i po postojećem center koji je i dalje 2 ili 3. Potraživanja takođe koriste stare centre i šifre. Prevođenje samo allowed_center_codes na 20 i 30 može da sakrije današnje podatke. Potrebno je zajedno uvesti kanonsku mapu i način čitanja, pa uporediti tačan skup dokumenata pre i posle. Posebno proveriti da mapiranje 3 ne proširi pristup na tehničku 111111. [3, 5]</w:t>
      </w:r>
    </w:p>
    <w:p>
      <w:pPr>
        <w:pStyle w:val="Heading2"/>
      </w:pPr>
      <w:r>
        <w:t>Prazan obuhvat i dodela uloge</w:t>
      </w:r>
    </w:p>
    <w:p>
      <w:r>
        <w:rPr>
          <w:b w:val="0"/>
        </w:rPr>
        <w:t>Flotin CenterMixin podrazumevano propušta sve kada nema obuhvata; Finansije i Potraživanja bez obuhvata vraćaju prazan skup, osim korisnika sa pravom na sve. Postoje i pojedinačni izuzeci u Floti. Novu politiku vezati za celinu korisnik + uloga + obuhvat + važenje. Ne sabirati nezavisno sve uloge i sve centre: time bi pravo izmene u jednom centru moglo da se proširi na drugi.</w:t>
      </w:r>
    </w:p>
    <w:p>
      <w:r>
        <w:rPr>
          <w:b w:val="0"/>
        </w:rPr>
        <w:t>Ekrani organizacija:stablo i organizacija:cvor proveravaju dozvolu rute, ali nemaju ograničenje po centru. Kartica čvora prikazuje i zbir korišćenja u knjiženjima. Pre šire dodele tih dozvola odrediti ko sme da vidi celu organizaciju i ko sme da vidi finansijske zbirove. [5]</w:t>
      </w:r>
    </w:p>
    <w:p>
      <w:pPr>
        <w:pStyle w:val="Heading2"/>
      </w:pPr>
      <w:r>
        <w:t>HR job_code nije šifra posla</w:t>
      </w:r>
    </w:p>
    <w:p>
      <w:r>
        <w:rPr>
          <w:b w:val="0"/>
        </w:rPr>
        <w:t>Employee.job_code je „Šifra zanimanja”, koju HR uvoz puni iz sif_zan. U bazi postoje 122 različite vrednosti i nijedna se ne poklapa sa FinanceJob. Ovo polje ne povezivati na registar poslova. HR org_unit_code ima oznake različitih nivoa, npr. 41, 411 i 4110; potrebna je eksplicitna mapa, ne sečenje prefiksa. [1, 6]</w:t>
      </w:r>
    </w:p>
    <w:p>
      <w:r>
        <w:rPr>
          <w:b w:val="0"/>
        </w:rPr>
        <w:t>Zaposleni na poslovima za analitiku dolaze iz zaključenih zarada i polja Zarada.sif_pos. To je drugi izvor od HR zanimanja i mora dobiti mapu poslovne šifre uz datum obračuna. Zaposlenje u centru ne daje automatski pravo čitanja svih finansijskih podataka tog centra.</w:t>
      </w:r>
    </w:p>
    <w:p>
      <w:r>
        <w:br w:type="page"/>
      </w:r>
    </w:p>
    <w:p>
      <w:pPr>
        <w:pStyle w:val="Heading1"/>
      </w:pPr>
      <w:r>
        <w:t>7 Predloženi redosled prelaska</w:t>
      </w:r>
    </w:p>
    <w:tbl>
      <w:tblPr>
        <w:tblW w:type="auto" w:w="0"/>
        <w:jc w:val="center"/>
        <w:tblLayout w:type="fixed"/>
        <w:tblLook w:firstColumn="1" w:firstRow="1" w:lastColumn="0" w:lastRow="0" w:noHBand="0" w:noVBand="1" w:val="04A0"/>
      </w:tblPr>
      <w:tblGrid>
        <w:gridCol w:w="1512"/>
        <w:gridCol w:w="4320"/>
        <w:gridCol w:w="4392"/>
      </w:tblGrid>
      <w:tr>
        <w:trPr>
          <w:cantSplit/>
          <w:tblHeader/>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pPr>
            <w:r>
              <w:rPr>
                <w:rFonts w:ascii="Calibri" w:hAnsi="Calibri"/>
                <w:b/>
                <w:color w:val="FFFFFF"/>
                <w:sz w:val="20"/>
              </w:rPr>
              <w:t>Korak</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jc w:val="center"/>
            </w:pPr>
            <w:r>
              <w:rPr>
                <w:rFonts w:ascii="Calibri" w:hAnsi="Calibri"/>
                <w:b/>
                <w:color w:val="FFFFFF"/>
                <w:sz w:val="20"/>
              </w:rPr>
              <w:t>Šta uraditi</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pPr>
            <w:r>
              <w:rPr>
                <w:rFonts w:ascii="Calibri" w:hAnsi="Calibri"/>
                <w:b/>
                <w:color w:val="FFFFFF"/>
                <w:sz w:val="20"/>
              </w:rPr>
              <w:t>Dokaz da je završeno</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1 Potvrda pravila</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Potvrditi centre, drugi nivo, nauku, izuzetke, istoriju i aktivnosti. Odrediti vlasnika svakog polja.</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Odobrena mapa i odluke iz sledećeg odeljka, bez otvorenih kritičnih slučajeva u pilotu.</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2 Servis mapiranja</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Uvesti razrešavanje po firmi, izvoru i datumu; opcione veze u poslovnim modelima.</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Svaki red dobija čvor ili obrazloženu kategoriju van stabla. Stari podaci ostaju čitljivi.</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3 Sinhronizacija</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Povezati osvežavanje registra sa uspešno objavljenim snimkom. Dodati obradu grešaka i novih šifara.</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Dva uzastopna ista uvoza bez novih čvorova i verzija; neuspeh ne uklanja poslednje ispravne podatke.</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4 Paralelni obračun</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Za iste datume i korisnika računati stari i novi put, bez menjanja prikaza korisniku.</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Jednak broj redova i tačni duguje/potražuje zbirovi; objašnjene razlike raspodele po centrima.</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5 Pilot čitanja</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Predlog je Nabavka, uz rešene naučne veze; potom Finansije, Potraživanja i Flota.</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Usklađeni pregled, unos, izmena, detalj, AJAX i Excel; nikakav dokument ne nestaje.</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6 Dozvole</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Prevesti obuhvat po korisniku i ulozi, uz posebno proverene globalne i prazne dodele.</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Za svakog pilot korisnika isti ili izričito odobren skup dostupnih dokumenata.</w:t>
            </w:r>
          </w:p>
        </w:tc>
      </w:tr>
      <w:tr>
        <w:trPr>
          <w:cantSplit/>
        </w:trPr>
        <w:tc>
          <w:tcPr>
            <w:tcW w:type="dxa" w:w="151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7 Širenje i povratak</w:t>
            </w:r>
          </w:p>
        </w:tc>
        <w:tc>
          <w:tcPr>
            <w:tcW w:type="dxa" w:w="432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Uključivati novi put po modulu preko kontrolisanog podešavanja. Stare veze još zadržati.</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Proveren povratak na stari put bez brisanja novih veza i bez ponovnog knjiženja.</w:t>
            </w:r>
          </w:p>
        </w:tc>
      </w:tr>
    </w:tbl>
    <w:p>
      <w:pPr>
        <w:spacing w:after="20"/>
      </w:pPr>
    </w:p>
    <w:p>
      <w:pPr>
        <w:pStyle w:val="Heading2"/>
      </w:pPr>
      <w:r>
        <w:t>Kontrole koje zaustavljaju prelazak</w:t>
      </w:r>
    </w:p>
    <w:p>
      <w:pPr>
        <w:pStyle w:val="ListBullet"/>
        <w:spacing w:after="100"/>
      </w:pPr>
      <w:r>
        <w:t>Nova ili promenjena šifra nema jednoznačnu mapu, a sistem joj automatski dodeljuje centar ili krije dokument.</w:t>
      </w:r>
    </w:p>
    <w:p>
      <w:pPr>
        <w:pStyle w:val="ListBullet"/>
        <w:spacing w:after="100"/>
      </w:pPr>
      <w:r>
        <w:t>Razlika kontrolnih zbirova, dupliranje prometa ili nestanak naučnih, zaključnih ili praznih šifara.</w:t>
      </w:r>
    </w:p>
    <w:p>
      <w:pPr>
        <w:pStyle w:val="ListBullet"/>
        <w:spacing w:after="100"/>
      </w:pPr>
      <w:r>
        <w:t>Korisnik vidi dokumente van odobrenog obuhvata ili gubi neophodan pristup bez potvrđene odluke.</w:t>
      </w:r>
    </w:p>
    <w:p>
      <w:pPr>
        <w:pStyle w:val="ListBullet"/>
        <w:spacing w:after="100"/>
      </w:pPr>
      <w:r>
        <w:t>Promena naziva, šifre, roditelja ili aktivnosti pri sledećoj sinhronizaciji poništava odobreno stanje.</w:t>
      </w:r>
    </w:p>
    <w:p>
      <w:r>
        <w:rPr>
          <w:b w:val="0"/>
        </w:rPr>
        <w:t>Pripremiti rezervnu kopiju, snimak mapiranja i prava, odgovorno lice za uključivanje i postupak povratka. Posle eventualnog dodavanja Celery zadatka upisati raspored, sinhronizovati ga i restartovati worker. Ne oslanjati redosled samo na vreme na satu; vezati zadatke za uspešan završetak prethodnog koraka. [4]</w:t>
      </w:r>
    </w:p>
    <w:p>
      <w:r>
        <w:br w:type="page"/>
      </w:r>
    </w:p>
    <w:p>
      <w:pPr>
        <w:pStyle w:val="Heading1"/>
      </w:pPr>
      <w:r>
        <w:t>8 Odluke potrebne pre prelaska</w:t>
      </w:r>
    </w:p>
    <w:p>
      <w:r>
        <w:rPr>
          <w:b w:val="0"/>
        </w:rPr>
        <w:t>Tabela je spisak za usaglašavanje. Predloženi nosilac označava poslovnu funkciju koja može da potvrdi podatak, ne već dodeljen zadatak. Nije potrebno odmah rešiti istoriju svakog retkog posla da bi registar ostao pregledan; potrebno je rešiti svaki slučaj koji ulazi u pilot ili u promenu prava.</w:t>
      </w:r>
    </w:p>
    <w:tbl>
      <w:tblPr>
        <w:tblW w:type="auto" w:w="0"/>
        <w:jc w:val="center"/>
        <w:tblLayout w:type="fixed"/>
        <w:tblLook w:firstColumn="1" w:firstRow="1" w:lastColumn="0" w:lastRow="0" w:noHBand="0" w:noVBand="1" w:val="04A0"/>
      </w:tblPr>
      <w:tblGrid>
        <w:gridCol w:w="1872"/>
        <w:gridCol w:w="2304"/>
        <w:gridCol w:w="6048"/>
      </w:tblGrid>
      <w:tr>
        <w:trPr>
          <w:cantSplit/>
          <w:tblHeader/>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pPr>
            <w:r>
              <w:rPr>
                <w:rFonts w:ascii="Calibri" w:hAnsi="Calibri"/>
                <w:b/>
                <w:color w:val="FFFFFF"/>
                <w:sz w:val="20"/>
              </w:rPr>
              <w:t>Odluka</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pPr>
            <w:r>
              <w:rPr>
                <w:rFonts w:ascii="Calibri" w:hAnsi="Calibri"/>
                <w:b/>
                <w:color w:val="FFFFFF"/>
                <w:sz w:val="20"/>
              </w:rPr>
              <w:t>Predloženi nosilac</w:t>
            </w:r>
          </w:p>
        </w:tc>
        <w:tc>
          <w:tcPr>
            <w:tcW w:type="dxa" w:w="60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pPr>
            <w:r>
              <w:rPr>
                <w:rFonts w:ascii="Calibri" w:hAnsi="Calibri"/>
                <w:b/>
                <w:color w:val="FFFFFF"/>
                <w:sz w:val="20"/>
              </w:rPr>
              <w:t>Šta mora biti zapisano</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Mapa centara</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Finansije i vlasnik organizacije</w:t>
            </w:r>
          </w:p>
        </w:tc>
        <w:tc>
          <w:tcPr>
            <w:tcW w:type="dxa" w:w="60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11 razlika i pravila 2/20, 3/30; posebno 111111 i prazne šifre.</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Drugi nivo</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Uprava i kadrovi</w:t>
            </w:r>
          </w:p>
        </w:tc>
        <w:tc>
          <w:tcPr>
            <w:tcW w:type="dxa" w:w="60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Nazivi i značenje svih 56 jedinica; potvrda da izvedeni segment zaista predstavlja OJ.</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Nauka</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Naučni blok i Finansije</w:t>
            </w:r>
          </w:p>
        </w:tc>
        <w:tc>
          <w:tcPr>
            <w:tcW w:type="dxa" w:w="60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Veza nosilac–projekat, pripadnost centru i pravila pristupa i zbirnih pregleda.</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Izuzeci</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Finansije i vlasnik šifarnika</w:t>
            </w:r>
          </w:p>
        </w:tc>
        <w:tc>
          <w:tcPr>
            <w:tcW w:type="dxa" w:w="60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Status 432, vranj, vranjs i 960001; alias samo kada je potvrđen isti identitet.</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Aktivnost</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Vlasnici poslova i Finansije</w:t>
            </w:r>
          </w:p>
        </w:tc>
        <w:tc>
          <w:tcPr>
            <w:tcW w:type="dxa" w:w="60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Da li obrt određuje samo analitički status ili i mogućnost novog unosa; izuzeci za nove poslove.</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Istorija</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Uprava i Finansije</w:t>
            </w:r>
          </w:p>
        </w:tc>
        <w:tc>
          <w:tcPr>
            <w:tcW w:type="dxa" w:w="60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Datum prelaska i prikaz ranijih dokumenata po istorijskoj ili tekućoj organizaciji.</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Održavanje podataka</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jc w:val="center"/>
            </w:pPr>
            <w:r>
              <w:rPr>
                <w:rFonts w:ascii="Calibri" w:hAnsi="Calibri"/>
                <w:sz w:val="20"/>
              </w:rPr>
              <w:t>Stari ERP i IT</w:t>
            </w:r>
          </w:p>
        </w:tc>
        <w:tc>
          <w:tcPr>
            <w:tcW w:type="dxa" w:w="60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Ko menja naziv, šifru, roditelja i profitnost; smer razmene i rešavanje konflikata.</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Prava</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Vlasnici modula i administrator</w:t>
            </w:r>
          </w:p>
        </w:tc>
        <w:tc>
          <w:tcPr>
            <w:tcW w:type="dxa" w:w="60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Prazan obuhvat, cela firma, nauka i tačne veze uloga–obuhvat, uključujući šest korisnika sa 2/3.</w:t>
            </w:r>
          </w:p>
        </w:tc>
      </w:tr>
      <w:tr>
        <w:trPr>
          <w:cantSplit/>
        </w:trPr>
        <w:tc>
          <w:tcPr>
            <w:tcW w:type="dxa" w:w="187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Pilot i povratak</w:t>
            </w:r>
          </w:p>
        </w:tc>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Vlasnik sistema i IT</w:t>
            </w:r>
          </w:p>
        </w:tc>
        <w:tc>
          <w:tcPr>
            <w:tcW w:type="dxa" w:w="60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Modul, datum uključivanja, kriterijumi prolaza, odgovorno lice i proverena procedura povratka.</w:t>
            </w:r>
          </w:p>
        </w:tc>
      </w:tr>
    </w:tbl>
    <w:p>
      <w:pPr>
        <w:spacing w:after="20"/>
      </w:pPr>
    </w:p>
    <w:p>
      <w:pPr>
        <w:pStyle w:val="Heading2"/>
      </w:pPr>
      <w:r>
        <w:t>Šta može odmah da ostane u upotrebi</w:t>
      </w:r>
    </w:p>
    <w:p>
      <w:r>
        <w:rPr>
          <w:b w:val="0"/>
        </w:rPr>
        <w:t>Pregled stabla, kartice čvorova, prikaz istorije koja je stvarno zabeležena i kontrola pokrivenosti mogu da ostanu u paralelnom režimu. Ne treba zaustavljati redovne sinhronizacije ni čistiti izvornu bazu zbog samog uvođenja registra.</w:t>
      </w:r>
    </w:p>
    <w:p>
      <w:pPr>
        <w:pStyle w:val="Heading2"/>
      </w:pPr>
      <w:r>
        <w:t>Šta još ne treba uključiti</w:t>
      </w:r>
    </w:p>
    <w:p>
      <w:r>
        <w:rPr>
          <w:b w:val="0"/>
        </w:rPr>
        <w:t>Ne uvoditi obaveznu vezu svih dokumenata samo ka poslovnom stablu, ne prevoditi korisničke centre samostalno i ne ukidati stare šifarnike. Ne menjati ZT, novčane tokove i zarade da bi se prilagodili lepšem stablu: prvo se usaglašava mapa identiteta i pripadnosti, a svaka eventualna izmena obračuna ide kao posebna odluka.</w:t>
      </w:r>
    </w:p>
    <w:p>
      <w:r>
        <w:br w:type="page"/>
      </w:r>
    </w:p>
    <w:p>
      <w:pPr>
        <w:pStyle w:val="Heading1"/>
      </w:pPr>
      <w:r>
        <w:t>9 Osnov provere i ograničenja zaključka</w:t>
      </w:r>
    </w:p>
    <w:p>
      <w:pPr>
        <w:pStyle w:val="Heading2"/>
      </w:pPr>
      <w:r>
        <w:t>Šta je neposredno provereno</w:t>
      </w:r>
    </w:p>
    <w:p>
      <w:r>
        <w:rPr>
          <w:b w:val="0"/>
        </w:rPr>
        <w:t>Čitani su lokalni modeli registra, Finansija, Flote, Nabavke, Potraživanja i korisnika u povezanoj IMS_ERP bazi. Pročitani su i izvorni posao na PUTGEO-SERVER.bazaims i pogled dbo.v_organizationalunit. Za upite je korišćena zaštita koja odbija sve SQL naredbe osim SELECT. Nije pokrenuta poslovna procedura, uvoz, migracija ni promena prava.</w:t>
      </w:r>
    </w:p>
    <w:p>
      <w:r>
        <w:rPr>
          <w:b w:val="0"/>
        </w:rPr>
        <w:t>Finansijska sinhronizacija tekuće godine završila je uspešno u 09.20 po lokalnom vremenu, sa 63.613 izvornih redova za 2026. i poslednjim datumom knjiženja 18.09.2026. Ukupan lokalni obuhvat ovog izveštaja je aktivna evidencija 2025–2026. Brojevi su snimak u 09.52 i mogu se promeniti pri sledećem redovnom uvozu.</w:t>
      </w:r>
    </w:p>
    <w:p>
      <w:pPr>
        <w:pStyle w:val="Heading2"/>
      </w:pPr>
      <w:r>
        <w:t>Kod i produkciona isporuka</w:t>
      </w:r>
    </w:p>
    <w:p>
      <w:r>
        <w:rPr>
          <w:b w:val="0"/>
        </w:rPr>
        <w:t>Pregledana je radna kopija projekta ims_fleet, uključujući tekuće izmene novog modula organizacije. Direktorijum produkcione aplikacije C:\DjangoApps\ims_erp nije dostupan na ovom računaru, pa identičnost objavljenog koda i stanje učitanog Celery workera nisu potvrđeni. Pre uključivanja proveriti verziju isporučenog koda, migracije i restart radnika.</w:t>
      </w:r>
    </w:p>
    <w:p>
      <w:r>
        <w:rPr>
          <w:b w:val="0"/>
        </w:rPr>
        <w:t>Pokrenuti su postojeći testovi modula organizacija sa ims_erp.settings.testing: 122 testa, svi uspešni. Nisu pokrenute pune sinhronizacije nad poslovnom bazom radi probe prelaska. Uspešni testovi potvrđuju postojeće ponašanje, uključujući ograničenja koja tek treba promeniti.</w:t>
      </w:r>
    </w:p>
    <w:p>
      <w:pPr>
        <w:pStyle w:val="Heading2"/>
      </w:pPr>
      <w:r>
        <w:t>Veze prema dokazima u projektu</w:t>
      </w:r>
    </w:p>
    <w:tbl>
      <w:tblPr>
        <w:tblW w:type="auto" w:w="0"/>
        <w:jc w:val="center"/>
        <w:tblLayout w:type="fixed"/>
        <w:tblLook w:firstColumn="1" w:firstRow="1" w:lastColumn="0" w:lastRow="0" w:noHBand="0" w:noVBand="1" w:val="04A0"/>
      </w:tblPr>
      <w:tblGrid>
        <w:gridCol w:w="936"/>
        <w:gridCol w:w="9288"/>
      </w:tblGrid>
      <w:tr>
        <w:trPr>
          <w:cantSplit/>
          <w:tblHeader/>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pPr>
            <w:r>
              <w:rPr>
                <w:rFonts w:ascii="Calibri" w:hAnsi="Calibri"/>
                <w:b/>
                <w:color w:val="FFFFFF"/>
                <w:sz w:val="20"/>
              </w:rPr>
              <w:t>Oznaka</w:t>
            </w:r>
          </w:p>
        </w:tc>
        <w:tc>
          <w:tcPr>
            <w:tcW w:type="dxa" w:w="92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3485E"/>
          </w:tcPr>
          <w:p>
            <w:pPr>
              <w:spacing w:after="40" w:line="245" w:lineRule="auto"/>
            </w:pPr>
            <w:r>
              <w:rPr>
                <w:rFonts w:ascii="Calibri" w:hAnsi="Calibri"/>
                <w:b/>
                <w:color w:val="FFFFFF"/>
                <w:sz w:val="20"/>
              </w:rPr>
              <w:t>Izvor i šta potvrđuje</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[1]</w:t>
            </w:r>
          </w:p>
        </w:tc>
        <w:tc>
          <w:tcPr>
            <w:tcW w:type="dxa" w:w="92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SELECT kontrolni snimak 21.09.2026. 09.52: registri, veze, pokrivenost, korisnici, raspored i izvorni šifarnici.</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[2]</w:t>
            </w:r>
          </w:p>
        </w:tc>
        <w:tc>
          <w:tcPr>
            <w:tcW w:type="dxa" w:w="92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organizacija/models.py i services/classification.py, importer.py, activity.py, report.py, detail.py: identitet, uvoz, status, istorija i razrešavanje.</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[3]</w:t>
            </w:r>
          </w:p>
        </w:tc>
        <w:tc>
          <w:tcPr>
            <w:tcW w:type="dxa" w:w="92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finansije/services/source.py, sync.py, shared_costs.py, cash_flow.py; fleet/sync/external.py: poreklo šifara, centara i tokovi sinhronizacije.</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[4]</w:t>
            </w:r>
          </w:p>
        </w:tc>
        <w:tc>
          <w:tcPr>
            <w:tcW w:type="dxa" w:w="92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core/management/commands/sync_celery_periodic_tasks.py, PeriodicTask u bazi, fleet/tasks.py: raspored i stvarno povezane funkcije.</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[5]</w:t>
            </w:r>
          </w:p>
        </w:tc>
        <w:tc>
          <w:tcPr>
            <w:tcW w:type="dxa" w:w="92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finansije/access.py, potrazivanja/access.py, fleet/mixins.py, core/mixins.py i organizacija/views.py: dozvole i obuhvat.</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[6]</w:t>
            </w:r>
          </w:p>
        </w:tc>
        <w:tc>
          <w:tcPr>
            <w:tcW w:type="dxa" w:w="92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hr/models.py i hr/sync.py: job_code kao sif_zan i posebna org_unit_code; finansije/services/job_people.py: poslovne šifre zarada.</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[7]</w:t>
            </w:r>
          </w:p>
        </w:tc>
        <w:tc>
          <w:tcPr>
            <w:tcW w:type="dxa" w:w="92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1F5F7"/>
          </w:tcPr>
          <w:p>
            <w:pPr>
              <w:spacing w:after="40" w:line="245" w:lineRule="auto"/>
            </w:pPr>
            <w:r>
              <w:rPr>
                <w:rFonts w:ascii="Calibri" w:hAnsi="Calibri"/>
                <w:sz w:val="20"/>
              </w:rPr>
              <w:t>Postojeći planovi registra, povezivanja i dozvola i popis koraka 0: namera i raniji snimci. Novi brojevi i zaključci iz ove provere imaju prednost kada se razlikuju.</w:t>
            </w:r>
          </w:p>
        </w:tc>
      </w:tr>
      <w:tr>
        <w:trPr>
          <w:cantSplit/>
        </w:trPr>
        <w:tc>
          <w:tcPr>
            <w:tcW w:type="dxa" w:w="9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[8]</w:t>
            </w:r>
          </w:p>
        </w:tc>
        <w:tc>
          <w:tcPr>
            <w:tcW w:type="dxa" w:w="928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sz w:val="20"/>
              </w:rPr>
              <w:t>organizacija/tests.py i izvršenje manage.py test organizacija --settings=ims_erp.settings.testing: 122 uspešna testa.</w:t>
            </w:r>
          </w:p>
        </w:tc>
      </w:tr>
    </w:tbl>
    <w:p>
      <w:pPr>
        <w:spacing w:after="20"/>
      </w:pPr>
    </w:p>
    <w:p>
      <w:r>
        <w:rPr>
          <w:b/>
        </w:rPr>
        <w:t>Preporuka za odluku: odobriti fazu usaglašavanja i povezivanja, uz paralelnu kontrolu. Odluku o punom prelasku doneti tek kada su kriterijumi iz odeljka 7 provereni za konkretan modul i njegove korisnike.</w:t>
      </w:r>
    </w:p>
    <w:sectPr w:rsidR="00FC693F" w:rsidRPr="0006063C" w:rsidSect="00034616">
      <w:footerReference w:type="default" r:id="rId9"/>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IMS  •  21.09.2026.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Usaglašavanje pre prelaska na novi sistem organizacije</dc:title>
  <dc:subject>Provera šifara organizacije i uslova za povezivanje modula i sinhronizacija</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