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t>Rešeno: Detalj ima sedam tabova: Podaci, Raspolaganje i polise, Troškovi, Korišćenje, Kilometraža, Servisi i Dokumenti. Aktuelna saobraćajna je izdvojena; raspolaganje, OJ, ugovori i polise su kratke liste.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t>Rešeno za kilometražu: Očitavanja goriva i naloga vozila daju stvarne približno mesečne intervale, uz provere opadanja. Format je 186.900,00 → 188.682,00 = 1.782,00 km. OMV „korigovano u izvoru“ potiče iz uvoza, nije račun aplikacije; dostupno je i izvorno stanje. Naziv je svuda u novom tabu „očitavanje“.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t>Rešeno: Tab Servisi prati mali i veliki servis kroz dve grupe: Nalozi i Nabavka. Prikazuje postojeće naloge garaže, zahteve, fakture i trebovanja vezane za vozilo. Datum se uzima samo sa fakture/trebovanja; bez dokumenta ostaje prazan. Kartice pokazuju poslednji datirani dokument, ne automatsku potvrdu obavljenog servisa.</w:t>
      </w:r>
    </w:p>
    <w:p>
      <w:pPr>
        <w:keepLines/>
      </w:pPr>
      <w:r>
        <w:t>Rešeno u toku rada: Iz naloga garaže otvara se zahtev za nabavku/uslugu sa vozilom i tipom intervencije. Veza sa nalogom je opciona; tip postoji i na samostalnoj fakturi. Stare stavke nisu automatski povezane niti prepravljene. Veliki servis se prepoznaje i iz postojećih kategorija „u IMS“ i „van IMS“.</w:t>
      </w:r>
      <w:r>
        <w:t xml:space="preserve"> Izgled polja Vrsta intervencije i Nalog garaže usklađen je sa ostalim padajućim poljima; izbor naloga prikazuje samo naloge izabranog vozila.</w:t>
      </w:r>
      <w:r>
        <w:t xml:space="preserve"> Sa povezanog zahteva dostupan je direktan ulazak u detalj vozila.</w:t>
      </w:r>
    </w:p>
    <w:p>
      <w:pPr>
        <w:keepLines/>
      </w:pPr>
      <w:r>
        <w:t>Pitanja: Da li stare kategorije „Redovan servis u IMS / van IMS“ uvek znače mali servis? Do potvrde ostaju nerazvrstane po malom/velikom servisu. Ostaje dogovor o rokovima dopune veza i finansijskoj potvrdi troška.</w:t>
      </w:r>
    </w:p>
    <w:p>
      <w:pPr>
        <w:keepLines/>
      </w:pPr>
      <w:r>
        <w:t>Dogovor za dalju doradu: Veljović/garaža prijavljuje i priprema nalog, uprava odobrava intervenciju, a garaža potvrđuje stvarno izvršenje. Sekretarice vode putne naloge; vozač na putu može biti različit od periodično zaduženog. Planirati interval velikog servisa i upozorenje za ponavljanje servisa. Odobravanje, potvrda završetka i ova upozorenja još nisu implementirani.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t>Rešeno: Faktura može da bude vezana za vozilo bez zahteva i sada ima opcioni tip Mali servis / Veliki servis / Popravka. Na detalju je tada vidljiva u Nabavci kao nepovezana sa nalogom; postojeće veze se poštuju. Više stavki iste fakture ili trebovanja ne množe dokument u pregledu.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p>
      <w:pPr>
        <w:pStyle w:val="Heading1"/>
      </w:pPr>
      <w:r>
        <w:t>Dopuna — detaljna analiza i procedure rada</w:t>
      </w:r>
    </w:p>
    <w:p>
      <w:r>
        <w:t>10.09.2026. Izrađen je poseban dokument „Analiza aplikacije i procedure rada - IMS flota.docx“, na osnovu pregleda koda, uloga i evidencija iz baze. Sadrži opis arhitekture, odgovornosti, procedure zaduženja i putovanja, tok garaža–uprava–nabavka–finansije, servisne planove, trošak vozila i garaže, katalog izveštaja, predlog tabela/migracija i otvorene odluke.</w:t>
      </w:r>
    </w:p>
    <w:p>
      <w:r>
        <w:t>Ključni nalazi: datum fakture/trebovanja nije potvrda izvršenog servisa; samo postojeća uloga Garaža nema kreiranje zahteva u Nabavci, a samo uloga Nabavka nema detalj vozila. Potrebno je usaglasiti prava, izvore troškova i obračune kilometraže. Plan razvoja je dokumentovan; ovom analizom nisu menjani aplikacija, poslovni podaci ili prava.</w:t>
      </w:r>
    </w:p>
    <w:p>
      <w:pPr>
        <w:pStyle w:val="Heading1"/>
      </w:pPr>
      <w:r>
        <w:t>Usmeren obuhvat — tok garaže, 10.09.2026.</w:t>
      </w:r>
    </w:p>
    <w:p>
      <w:r>
        <w:t>Korisnik je precizirao da ostali moduli odgovaraju potrebama i rade. Fokus predloga je garaža: prijava/potreba za servisom → priprema naloga → odobrenje uprave → interni/spoljni rad, uz Nabavku samo kada je potrebna → potvrda izvršenja → dopuna dokumentacije i zatvaranje.</w:t>
      </w:r>
    </w:p>
    <w:p>
      <w:r>
        <w:t>Trebovanja ostaju izvor podataka o materijalu; postojeći „Servisi van IMS“ ostaju izvor knjiženih troškova. Predlog je jasnije imenovanje pregleda i povezivanje sa centralnim nalogom, bez brisanja tabela i bez dvostrukog unosa popravke. Postojeće veze sa Nabavkom i trebovanjem treba iskoristiti. Detalji su u „Garaza IMS - tok rada i povezivanje.docx“. Ovo je dokumentovan predlog; aplikacija nije menjana u ovom koraku.</w:t>
      </w:r>
    </w:p>
    <w:p>
      <w:pPr>
        <w:pStyle w:val="Heading1"/>
      </w:pPr>
      <w:r>
        <w:t>Dopuna — povezivanje sa Nabavkom bez duplog unosa</w:t>
      </w:r>
    </w:p>
    <w:p>
      <w:r>
        <w:t>Po pojašnjenju zahteva direktorke cilj je ukidanje posebnog unosa trebovanja i popravki van IMS u Floti. Nabavka već podržava povezivanje EUF/UF faktura i robnih stavki, kao i štampu trebovanja iz zahteva. Nalog garaže treba da koristi te dokumente preko veza, uz potvrdu stvarnog rada. Stare tabele čuvaju se tokom prelaska; to nije odluka da trajno ostanu aktivne.</w:t>
      </w:r>
    </w:p>
    <w:p>
      <w:r>
        <w:t>Pre fizičkog uklanjanja tabela treba potvrditi da roba Nabavke pokriva izdavanja materijala, dopuniti vezu izdatih količina sa nalogom i prebaciti obračune. Štampa zahtevanog materijala trenutno nije elektronska potvrda izdavanja. U kodu su različiti izvori dbo.fleet_trebovanja i dbo.nbv_roba; novo poređenje njihovih redova nije završeno jer SQL server nije dostupan. Predlog i granice provere dopisani su u „Garaza IMS - tok rada i povezivanje.docx“. Nisu menjani aplikacija ili poslovni podaci.</w:t>
      </w:r>
    </w:p>
    <w:p>
      <w:pPr>
        <w:pStyle w:val="Heading1"/>
      </w:pPr>
      <w:r>
        <w:t>Procena prenosa modela Requisition — 11.09.2026.</w:t>
      </w:r>
    </w:p>
    <w:p>
      <w:r>
        <w:t>Baza je ponovo dostupna. Proverene definicije izvora: trebovanja Flote koriste sif_dok=40, a roba Nabavke sif_dok=10. Postojeći GoodsSnapshot nije kopija trebovanja. Predlog je preneti Requisition u Nabavku kao poseban model izdatog materijala, uz početno zadržavanje iste SQL tabele i ID-jeva; nije potrebno prepisivati dokumente ili odmah uvoditi opšti magacin.</w:t>
      </w:r>
    </w:p>
    <w:p>
      <w:r>
        <w:t>Za očuvanje: 2.980 stavki, 2.978 veza sa vozilima, 2.209 kategorija, 1.833 kilometraže i 13 napomena. Sadašnji izvor nema 2.209 istorijskih stavki iz 2024–2025, ali ima 164 nove koje lokalno nisu preuzete. Prenos i naknadna sinhronizacija moraju se kontrolisati odvojeno. Osam postojećih vrednosti razlikuje se od zaokruženog proizvoda količine i cene; sačuvati originalne iznose.</w:t>
      </w:r>
    </w:p>
    <w:p>
      <w:r>
        <w:t>Procena preporučenog obuhvata: 24–40 radnih sati (približno 3–5 radnih dana jednog programera), uz uslove i provere navedene u „Procena prenosa trebovanja u Nabavku.docx“. Obuhvata model, migraciono stanje, prikaze/obračune, uvoz, prava i proveru. Ne obuhvata pun tok odobravanja garaže ili prenos servisa. Status: završena procena; migracije i poslovni upisi nisu izvršeni.</w:t>
      </w:r>
    </w:p>
    <w:p>
      <w:pPr>
        <w:pStyle w:val="Heading1"/>
      </w:pPr>
      <w:r>
        <w:t>Kadrovi — RFZO bolovanja i provera godišnjih odmora, 11.09.2026.</w:t>
      </w:r>
    </w:p>
    <w:p>
      <w:r>
        <w:t>Rešeno: HR modeli bolovanja i istorije uvoza, lista i RFZO Excel uvoz sa povezivanjem po JMBG-u. Primenjene migracije 0004/0005. Uvezen dostavljeni primer: 23 bolovanja, sva povezana, ponovna provera bez duplikata. U radnoj listi se po datumima automatski prikazuje „Bolovanje“ u napomeni uz prolaske, zajedno sa putnim nalozima; sati se ne menjaju. Uvedene su posebne dozvole pregleda/uvoza za Upravu i mogućnost dodele ovlašćenim korisnicima.</w:t>
      </w:r>
    </w:p>
    <w:p>
      <w:r>
        <w:t>Provereno: Godmor ima dodelu dana, GodmorKor rešenja, sa rasif vezom ka zaposlenom. Za 2026. ima 328 dodela i 293 rešenja. Stvarno korišćenje ostaje iz radne liste. Otvoreno: koja tabela/šifra u postojećoj evidenciji označava korišćenje godišnjeg odmora, ili da li se taj podatak vodi u novoj radnoj listi. Godišnji odmori nisu automatski obračunati iz rešenja. Detalji su u „Kadrovi - bolovanja i godisnji odmori.docx“.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