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</w:p>
    <w:p>
      <w:pPr>
        <w:keepLines/>
      </w:pPr>
      <w:r>
        <w:t>Pitanja: Da li stare kategorije „Redovan servis u IMS / van IMS“ uvek znače mali servis? Do potvrde ostaju nerazvrstane po malom/velikom servisu. Ko dopunjava nedostajuće veze i ko potvrđuje stvarni završetak intervencije?</w:t>
      </w:r>
    </w:p>
    <w:p>
      <w:pPr>
        <w:keepLines/>
      </w:pPr>
      <w:r>
        <w:rPr>
          <w:b/>
        </w:rPr>
        <w:t xml:space="preserve">Predlog: </w:t>
      </w:r>
      <w:r>
        <w:t>Na dogovorenom sastanku usvojiti tok rada i odgovornosti. Koristiti postojeću prijavu kvara i njene veze; stare nepovezane stavke označiti kao nerazvrstane, ne određivati vrstu rada samo iz naziva dela.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