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rPr>
          <w:b/>
        </w:rPr>
        <w:t>Rešeno:</w:t>
      </w:r>
      <w:r>
        <w:t xml:space="preserve"> Detalj ima šest tabova, vidljivu boju, izdvojenu aktuelnu saobraćajnu i istoriju dokumenata. Raspolaganje, OJ, ugovori i polise su kratke liste. Novi tab Kilometraža prikazuje poslednje stanje i razlike između stvarnih očitanja.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rPr>
          <w:b/>
        </w:rPr>
        <w:t>Rešeno za kilometražu:</w:t>
      </w:r>
      <w:r>
        <w:t xml:space="preserve"> Kombinovana su očitanja goriva i početna/završna stanja naloga vozila. Periodi su približno mesečni, uz tačne datume od–do, početno/krajnje stanje i razliku. Opadanja su označena za proveru.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rPr>
          <w:b/>
        </w:rPr>
        <w:t xml:space="preserve">Već postoji: </w:t>
      </w:r>
      <w:r>
        <w:t>Prijava kvara, mali/veliki servis i popravka, trebovanja i veza sa intervencijom. Na detalju je naziv Spoljne usluge i delovi.</w:t>
      </w:r>
    </w:p>
    <w:p>
      <w:pPr>
        <w:keepLines/>
      </w:pPr>
      <w:r>
        <w:rPr>
          <w:b/>
        </w:rPr>
        <w:t xml:space="preserve">Ostaje: </w:t>
      </w:r>
      <w:r>
        <w:t>Dogovoriti odgovorne osobe, tok rada i povezivanje APL trebovanja. Precizirati redovno/vanredno održavanje i uskladiti naziv zbirnog izveštaja.</w:t>
      </w:r>
    </w:p>
    <w:p>
      <w:pPr>
        <w:keepLines/>
      </w:pPr>
      <w:r>
        <w:rPr>
          <w:b/>
        </w:rPr>
        <w:t xml:space="preserve">Pitanja: </w:t>
      </w:r>
      <w:r>
        <w:t>Ko prijavljuje, odobrava i zatvara intervenciju, a ko povezuje APL trebovanje? Da li redovno/vanredno znači planirano/neplanirano ili servis/popravka?</w:t>
      </w:r>
    </w:p>
    <w:p>
      <w:pPr>
        <w:keepLines/>
      </w:pPr>
      <w:r>
        <w:rPr>
          <w:b/>
        </w:rPr>
        <w:t xml:space="preserve">Predlog: </w:t>
      </w:r>
      <w:r>
        <w:t>Na dogovorenom sastanku usvojiti tok rada i odgovornosti. Koristiti postojeću prijavu kvara i njene veze; stare nepovezane stavke označiti kao nerazvrstane, ne određivati vrstu rada samo iz naziva dela.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rPr>
          <w:b/>
        </w:rPr>
        <w:t xml:space="preserve">Već postoji: </w:t>
      </w:r>
      <w:r>
        <w:t>Faktura može direktno da se poveže sa garažom i jednim vozilom, i bez zahteva.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