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t>Ocena: UI i preglednost — realizovano i dopunjeno</w:t>
      </w:r>
    </w:p>
    <w:p>
      <w:pPr>
        <w:keepLines/>
      </w:pPr>
      <w:r>
        <w:t>Odgovor — sadašnja arhitektura: Detalj objedinjuje sedam oblasti: Podaci, Raspolaganje i polise, Troškovi, Korišćenje, Kilometraža, Servisi i Dokumenti. Servisi imaju odvojene grupe Nalozi i Nabavka i kartice poslednjih datiranih dokumenata za mali i veliki servis.</w:t>
      </w:r>
    </w:p>
    <w:p>
      <w:pPr>
        <w:keepLines/>
      </w:pPr>
      <w:r>
        <w:t>Status 10.09.2026: Realizovano — sedmi tab Servisi dopunjuje raniji raspored. Kilometraža ima decimalni zarez i izraz očitavanje.</w:t>
      </w:r>
    </w:p>
    <w:p>
      <w:pPr>
        <w:keepLines/>
      </w:pPr>
      <w:r>
        <w:t>Predlog rešenja: Sprovedeno na postojećem detalju vozila, uz jasno imenovan izvor svakog podatka.</w:t>
      </w:r>
    </w:p>
    <w:p>
      <w:pPr>
        <w:keepLines/>
      </w:pPr>
      <w:r>
        <w:t>Dalja potvrda: Raspored je realizovan; odgovornosti za dopunu stare evidencije ostaju otvorene.</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t>Ocena: Kilometraža i stvarni približno mesečni intervali — realizovano i ispravljeno</w:t>
      </w:r>
    </w:p>
    <w:p>
      <w:pPr>
        <w:keepLines/>
      </w:pPr>
      <w:r>
        <w:t>Odgovor — sadašnja arhitektura: Koriste se NIS/OMV očitavanja, ranija evidencija goriva za datume bez direktnog izvora i početno/završno stanje naloga vozila sa pripadajućim datumima. OMV corrected_mileage je uvezeni podatak iz kolone Corrected mileage; aplikacija ne zna ko ga je i zašto korigovao. Izvorno stanje se prikazuje kada se razlikuje.</w:t>
      </w:r>
    </w:p>
    <w:p>
      <w:pPr>
        <w:keepLines/>
      </w:pPr>
      <w:r>
        <w:t>Status 10.09.2026: Format je potvrđen: 186.900,00 → 188.682,00 = 1.782,00 km. Decimalni prikaz je odvojen od brojčane vrednosti za sortiranje i računanje. Termin u tabu je očitavanje.</w:t>
      </w:r>
    </w:p>
    <w:p>
      <w:pPr>
        <w:keepLines/>
      </w:pPr>
      <w:r>
        <w:t>Predlog rešenja: Sprovedeno. Stvarni datumi, približno 30 dana, bez interpolacije i preklapanja distance. Opadanja unutar intervala blokiraju nepouzdan obračun.</w:t>
      </w:r>
    </w:p>
    <w:p>
      <w:pPr>
        <w:keepLines/>
      </w:pPr>
      <w:r>
        <w:t>Pitanje za odluku / dopunu: Za kalendarski mesečni pregled cele flote i dalje su potrebna granična očitavanja ili potvrđen kontinuirani izvor; postojeći tab ne izmišlja nedostajuće datume.</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p>
      <w:pPr>
        <w:pStyle w:val="Heading1"/>
      </w:pPr>
      <w:r>
        <w:t>Dopuna: decimalni prikaz kilometraže i praćenje servisa — 10.09.2026.</w:t>
      </w:r>
    </w:p>
    <w:p>
      <w:r>
        <w:t>Korisnik je potvrdio prikaz sa dve decimale i srpskim separatorima: 186.900,00 → 188.682,00 = 1.782,00 km. Promena je u prikazu; brojčana stanja nisu deljena, množena niti prepravljana. Termin je očitavanje.</w:t>
      </w:r>
    </w:p>
    <w:p>
      <w:r>
        <w:t>Korigovano u izvoru označava vrednost preuzetu iz OMV kolone Corrected mileage. Kada je pozitivna, već postojeće pravilo je koristi umesto Mileage. Prikaz objašnjava poreklo i pokazuje izvorno stanje kada se razlikuje; nema tvrdnje da je aplikacija korigovala kilometražu.</w:t>
      </w:r>
    </w:p>
    <w:p>
      <w:r>
        <w:t>Tab Servisi ima dve kategorije: Nalozi (garaža i zahtevi za nabavku/uslugu) i Nabavka (fakture/UF i trebovanja vezani za vozilo). Kartice Mali servis i Veliki servis pokazuju poslednji datirani i razvrstani dokument. Sam zahtev ili prijava bez dokumenta ostaje bez servisnog datuma.</w:t>
      </w:r>
    </w:p>
    <w:p>
      <w:r>
        <w:t>Nalog garaže već ima Kvar.work_type. Nabavka dobija opcioni ProcurementCase.work_type, opcionu vezu ProcurementCase.garage_order i opcioni ProcurementInvoice.work_type. Dodata i primenjena migracija nabavka.0019_vehicle_service_tracking. Nema nove tabele; stare veze, izvorne fakture, kilometraža i kategorije nisu automatski menjane.</w:t>
      </w:r>
    </w:p>
    <w:p>
      <w:r>
        <w:t>Iz detalja naloga garaže otvara se zahtev za nabavku ili uslugu sa unapred popunjenim vozilom, nalogom i tipom. Na formi izbor drugog vozila ograničava izbor naloga na to vozilo. Provera na serveru odbija nalog drugog vozila i suprotan tip servisa. Ponavljanje zahteva prenosi tip, ali ne vezuje novu intervenciju za stari nalog.</w:t>
      </w:r>
    </w:p>
    <w:p>
      <w:r>
        <w:t>Dokumenti se čitaju preko postojećih veza zahteva/stavki/fakture, direktne veze fakture sa vozilom i veze trebovanja sa vozilom/nalogom. Datumi su datum fakture, UF dokumenta ili trebovanja. Datum prijave, zahteva, uvoza i knjiženja ne zamenjuje nedostajući datum dokumenta. Generički robni promet i stari knjiženi servisi ne proglašavaju se trebovanjem/fakturom bez odgovarajuće veze.</w:t>
      </w:r>
    </w:p>
    <w:p>
      <w:r>
        <w:t>Više stavki iste fakture/trebovanja daje jedan dokument u pregledu Nabavke. Isti dokument može biti vidljiv uz zahtev i nalog koji su stvarno povezani. Ako su kategorije ili datumi neusaglašeni, dokument ostaje vidljiv sa oznakom za proveru i ne određuje poslednji mali/veliki servis. Budući dokumenti takođe ne određuju poslednji servis.</w:t>
      </w:r>
    </w:p>
    <w:p>
      <w:r>
        <w:t>Postojeći nazivi Veliki servis u IMS / van IMS prepoznaju se kao veliki servis. Otvoreno pitanje korisniku: da li Redovan servis u IMS / van IMS uvek znači mali servis? Do potvrde se to ne pretpostavlja. Nabavka dela ili faktura sama po sebi ne potvrđuje ugradnju i završetak rada, pa nisu uvedeni proizvoljni naredni servisni rokovi.</w:t>
      </w:r>
    </w:p>
    <w:p>
      <w:r>
        <w:t>Provera u Chrome pregledaču na izolovanoj bazi: potvrđen decimalni prikaz, aktiviranje oba taba, obe tabele servisa, nepovezana faktura, unapred popunjen zahtev i ograničenje naloga prema vozilu. Na postojećoj SQL Server bazi migracija je uspešno primenjena; čitanje detalja vozila vraća HTTP 200. Za provereni automobil vidljivo je 10 postojećih dokumenata, bez automatskog povezivanja ili izmišljanja kategorije.</w:t>
      </w:r>
    </w:p>
    <w:p>
      <w:r>
        <w:t>Validacija: ukupno 83 ciljana testa prolaze kroz ovaj i prethodni završni prolaz; posle poslednje dopune ponovljena su sva 23 testa kilometraže i servisa. Provereni su i izveštaji i postojeći detalj/formiranje vozila. U dodatno pokrenutoj staroj grupi Nabavke ostaje ranije poznat pad testa test_primary_invoice_job_code_cannot_be_added_as_additional, zbog očekivanja o već kreiranoj osnovnoj OJ vezi; obračun i veze OJ nisu menjani ovom doradom.</w:t>
      </w:r>
    </w:p>
    <w:p>
      <w:pPr>
        <w:pStyle w:val="Heading2"/>
      </w:pPr>
      <w:r>
        <w:t>Kilometraža sa decimalnim zarezom</w:t>
      </w:r>
    </w:p>
    <w:p>
      <w:r>
        <w:t>Demonstracioni podaci iz izolovane test baze.</w:t>
      </w:r>
    </w:p>
    <w:p>
      <w:r>
        <w:drawing>
          <wp:inline xmlns:a="http://schemas.openxmlformats.org/drawingml/2006/main" xmlns:pic="http://schemas.openxmlformats.org/drawingml/2006/picture">
            <wp:extent cx="5940000" cy="3745560"/>
            <wp:docPr id="14" name="Picture 14"/>
            <wp:cNvGraphicFramePr>
              <a:graphicFrameLocks noChangeAspect="1"/>
            </wp:cNvGraphicFramePr>
            <a:graphic>
              <a:graphicData uri="http://schemas.openxmlformats.org/drawingml/2006/picture">
                <pic:pic>
                  <pic:nvPicPr>
                    <pic:cNvPr id="0" name="kilometraza_decimalni_prikaz.png"/>
                    <pic:cNvPicPr/>
                  </pic:nvPicPr>
                  <pic:blipFill>
                    <a:blip r:embed="rId24"/>
                    <a:stretch>
                      <a:fillRect/>
                    </a:stretch>
                  </pic:blipFill>
                  <pic:spPr>
                    <a:xfrm>
                      <a:off x="0" y="0"/>
                      <a:ext cx="5940000" cy="3745560"/>
                    </a:xfrm>
                    <a:prstGeom prst="rect"/>
                  </pic:spPr>
                </pic:pic>
              </a:graphicData>
            </a:graphic>
          </wp:inline>
        </w:drawing>
      </w:r>
    </w:p>
    <w:p>
      <w:pPr>
        <w:pStyle w:val="Heading2"/>
      </w:pPr>
      <w:r>
        <w:t>Servisi — Nalozi i Nabavka</w:t>
      </w:r>
    </w:p>
    <w:p>
      <w:r>
        <w:t>Demonstracioni podaci iz izolovane test baze.</w:t>
      </w:r>
    </w:p>
    <w:p>
      <w:r>
        <w:drawing>
          <wp:inline xmlns:a="http://schemas.openxmlformats.org/drawingml/2006/main" xmlns:pic="http://schemas.openxmlformats.org/drawingml/2006/picture">
            <wp:extent cx="5940000" cy="3745560"/>
            <wp:docPr id="15" name="Picture 15"/>
            <wp:cNvGraphicFramePr>
              <a:graphicFrameLocks noChangeAspect="1"/>
            </wp:cNvGraphicFramePr>
            <a:graphic>
              <a:graphicData uri="http://schemas.openxmlformats.org/drawingml/2006/picture">
                <pic:pic>
                  <pic:nvPicPr>
                    <pic:cNvPr id="0" name="vozilo_servisi.png"/>
                    <pic:cNvPicPr/>
                  </pic:nvPicPr>
                  <pic:blipFill>
                    <a:blip r:embed="rId25"/>
                    <a:stretch>
                      <a:fillRect/>
                    </a:stretch>
                  </pic:blipFill>
                  <pic:spPr>
                    <a:xfrm>
                      <a:off x="0" y="0"/>
                      <a:ext cx="5940000" cy="3745560"/>
                    </a:xfrm>
                    <a:prstGeom prst="rect"/>
                  </pic:spPr>
                </pic:pic>
              </a:graphicData>
            </a:graphic>
          </wp:inline>
        </w:drawing>
      </w:r>
    </w:p>
    <w:p>
      <w:r>
        <w:t>Dopuna izgleda formi 10.09.2026: Vrsta intervencije u garaži, zahtevu i fakturi koristi isti padajući izbor kao ostala polja. Usklađen je i Nalog garaže. Pri promeni vozila dostupni su samo njegovi nalozi, a izbor naloga ažurira vidljivi tip intervencije. Provereno u Chrome pregledaču na izolovanoj bazi: ista visina i okvir polja, izbor naloga po vozilu i automatski prikaz tipa. Nema izmene baze.</w:t>
      </w:r>
    </w:p>
    <w:p>
      <w:r>
        <w:t>Dopuna navigacije 10.09.2026: Na detalju zahteva za uslugu/nabavku, kada je povezano vozilo, prikazuje se dugme Detalji vozila u zaglavlju. Naziv vozila u osnovnim podacima takođe vodi na njegov detalj. Bez vozila nema dugmeta; prikazuje se Nije povezano. Proveren je prikaz oba slučaja bez izmene zapisa u bazi.</w:t>
      </w:r>
    </w:p>
    <w:p>
      <w:pPr>
        <w:pStyle w:val="Heading1"/>
      </w:pPr>
      <w:r>
        <w:t>Analiza aplikacije i predlog procedura — 10.09.2026.</w:t>
      </w:r>
    </w:p>
    <w:p>
      <w:r>
        <w:t>Izrađen je novi detaljan Word „Analiza aplikacije i procedure rada - IMS flota.docx“. Postojeće primedbe i dokazi u ovom preseku su sačuvani. Novi dokument razdvaja provereno stanje, dogovorene smernice i predloge koji tek treba da se implementiraju.</w:t>
      </w:r>
    </w:p>
    <w:p>
      <w:r>
        <w:t>Potvrđeno sa korisnikom: sekretarice vode putne naloge; periodično zaduženje nije isto što i vozač na svakom putovanju. Garaža/Veljović formira nalog i potvrđuje stvarno završene radove, a uprava odobrava intervenciju. Zadržati mogućnost naknadnog povezivanja nabavke i vozila. Dodati plan velikog servisa i računanje dospeća; za ponavljanja traženo je upozorenje, bez automatske zabrane.</w:t>
      </w:r>
    </w:p>
    <w:p>
      <w:r>
        <w:t>Proverena osnova: 172 vozila, od kojih 164 aktivna; 217 zaduženja vozila; 3.522 putna naloga; jedan nalog garaže; 224 zahteva Nabavke. Brojevi predstavljaju zatečenu evidenciju, a ne fizički popis ili potvrdu izvršenja. U bazi postoji veza zahteva sa nalogom garaže, ali tokom provere nijedan zahtev nije koristio tu vezu.</w:t>
      </w:r>
    </w:p>
    <w:p>
      <w:r>
        <w:t>Prioriteti: odobravanje i istorija promena naloga; odvojena potvrda izvršenja sa datumom i kilometražom; uklanjanje automatskog stvaranja generičkih delova prilikom pregleda iz evidencije stvarnog utroška; precizna prava po ulogama; povezivanje dokumenata bez dvostrukog troška; pouzdana osnova za servisne rokove. Trošak interne garaže traži i podatke o radu i zajedničkim rashodima, a ne samo o delovima.</w:t>
      </w:r>
    </w:p>
    <w:p>
      <w:r>
        <w:t>Otvoreno: značenje starih kategorija „Redovan servis“, intervali po vozilu, finansijska metodologija i odgovorna lica, sati rada garaže, hitne intervencije i zamena odobravaoca, pragovi upozorenja i tačan identitet AutoDekija. Ova pitanja su objašnjena u novoj analizi; ne sprečavaju razradu osnovnog toka.</w:t>
      </w:r>
    </w:p>
    <w:p>
      <w:r>
        <w:t>Status: završena analiza i predlog procedura, modela, migracija i redosleda razvoja. U ovom koraku nisu menjani aplikacioni tokovi, dozvole ili poslovni zapisi. Ranije izvedene dorade ostaju opisane u prethodnim dopunama.</w:t>
      </w:r>
    </w:p>
    <w:p>
      <w:pPr>
        <w:pStyle w:val="Heading1"/>
      </w:pPr>
      <w:r>
        <w:t>Usmeren obuhvat — tok garaže, 10.09.2026.</w:t>
      </w:r>
    </w:p>
    <w:p>
      <w:r>
        <w:t>Korisnik je precizirao da ostali moduli odgovaraju potrebama i rade. Fokus predloga je garaža: prijava/potreba za servisom → priprema naloga → odobrenje uprave → interni/spoljni rad, uz Nabavku samo kada je potrebna → potvrda izvršenja → dopuna dokumentacije i zatvaranje.</w:t>
      </w:r>
    </w:p>
    <w:p>
      <w:r>
        <w:t>Trebovanja ostaju izvor podataka o materijalu; postojeći „Servisi van IMS“ ostaju izvor knjiženih troškova. Predlog je jasnije imenovanje pregleda i povezivanje sa centralnim nalogom, bez brisanja tabela i bez dvostrukog unosa popravke. Postojeće veze sa Nabavkom i trebovanjem treba iskoristiti. Detalji su u „Garaza IMS - tok rada i povezivanje.docx“. Ovo je dokumentovan predlog; aplikacija nije menjana u ovom koraku.</w:t>
      </w:r>
    </w:p>
    <w:p>
      <w:pPr>
        <w:pStyle w:val="Heading1"/>
      </w:pPr>
      <w:r>
        <w:t>Dopuna — povezivanje sa Nabavkom bez duplog unosa</w:t>
      </w:r>
    </w:p>
    <w:p>
      <w:r>
        <w:t>Po pojašnjenju zahteva direktorke cilj je ukidanje posebnog unosa trebovanja i popravki van IMS u Floti. Nabavka već podržava povezivanje EUF/UF faktura i robnih stavki, kao i štampu trebovanja iz zahteva. Nalog garaže treba da koristi te dokumente preko veza, uz potvrdu stvarnog rada. Stare tabele čuvaju se tokom prelaska; to nije odluka da trajno ostanu aktivne.</w:t>
      </w:r>
    </w:p>
    <w:p>
      <w:r>
        <w:t>Pre fizičkog uklanjanja tabela treba potvrditi da roba Nabavke pokriva izdavanja materijala, dopuniti vezu izdatih količina sa nalogom i prebaciti obračune. Štampa zahtevanog materijala trenutno nije elektronska potvrda izdavanja. U kodu su različiti izvori dbo.fleet_trebovanja i dbo.nbv_roba; novo poređenje njihovih redova nije završeno jer SQL server nije dostupan. Predlog i granice provere dopisani su u „Garaza IMS - tok rada i povezivanje.docx“. Nisu menjani aplikacija ili poslovni podaci.</w:t>
      </w:r>
    </w:p>
    <w:p>
      <w:pPr>
        <w:pStyle w:val="Heading1"/>
      </w:pPr>
      <w:r>
        <w:t>Procena prenosa modela Requisition — 11.09.2026.</w:t>
      </w:r>
    </w:p>
    <w:p>
      <w:r>
        <w:t>Baza je ponovo dostupna. Proverene definicije izvora: trebovanja Flote koriste sif_dok=40, a roba Nabavke sif_dok=10. Postojeći GoodsSnapshot nije kopija trebovanja. Predlog je preneti Requisition u Nabavku kao poseban model izdatog materijala, uz početno zadržavanje iste SQL tabele i ID-jeva; nije potrebno prepisivati dokumente ili odmah uvoditi opšti magacin.</w:t>
      </w:r>
    </w:p>
    <w:p>
      <w:r>
        <w:t>Za očuvanje: 2.980 stavki, 2.978 veza sa vozilima, 2.209 kategorija, 1.833 kilometraže i 13 napomena. Sadašnji izvor nema 2.209 istorijskih stavki iz 2024–2025, ali ima 164 nove koje lokalno nisu preuzete. Prenos i naknadna sinhronizacija moraju se kontrolisati odvojeno. Osam postojećih vrednosti razlikuje se od zaokruženog proizvoda količine i cene; sačuvati originalne iznose.</w:t>
      </w:r>
    </w:p>
    <w:p>
      <w:r>
        <w:t>Procena preporučenog obuhvata: 24–40 radnih sati (približno 3–5 radnih dana jednog programera), uz uslove i provere navedene u „Procena prenosa trebovanja u Nabavku.docx“. Obuhvata model, migraciono stanje, prikaze/obračune, uvoz, prava i proveru. Ne obuhvata pun tok odobravanja garaže ili prenos servisa. Status: završena procena; migracije i poslovni upisi nisu izvršeni.</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