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Ocena:</w:t>
      </w:r>
      <w:r>
        <w:t xml:space="preserve"> UI i navigacija — realizovano</w:t>
      </w:r>
    </w:p>
    <w:p>
      <w:pPr>
        <w:keepLines/>
      </w:pPr>
      <w:r>
        <w:rPr>
          <w:b/>
        </w:rPr>
        <w:t>Odgovor — sadašnja arhitektura:</w:t>
      </w:r>
      <w:r>
        <w:t xml:space="preserve"> Potrošnja, Popravke van IMS i Popravke u IMS premešteni su iz levog menija na početak stranice Izveštaji, u grupu Vozni park. Veze vode na postojeće preglede, sa postojećim funkcijama i pravima.</w:t>
      </w:r>
    </w:p>
    <w:p>
      <w:pPr>
        <w:keepLines/>
      </w:pPr>
      <w:r>
        <w:rPr>
          <w:b/>
        </w:rPr>
        <w:t>Status 10.09.2026:</w:t>
      </w:r>
      <w:r>
        <w:t xml:space="preserve"> Realizovano — premeštanje tri pregleda je završeno.</w:t>
      </w:r>
    </w:p>
    <w:p>
      <w:pPr>
        <w:keepLines/>
      </w:pPr>
      <w:r>
        <w:rPr>
          <w:b/>
        </w:rPr>
        <w:t>Predlog rešenja:</w:t>
      </w:r>
      <w:r>
        <w:t xml:space="preserve"> Sprovedeno bez promene podataka, obračuna i baze.</w:t>
      </w:r>
    </w:p>
    <w:p>
      <w:pPr>
        <w:keepLines/>
      </w:pPr>
      <w:r>
        <w:rPr>
          <w:b/>
        </w:rPr>
        <w:t>Dalja potvrda:</w:t>
      </w:r>
      <w:r>
        <w:t xml:space="preserve"> Nema otvorenog pitanja za ovo premeštanje.</w:t>
      </w:r>
    </w:p>
    <w:p>
      <w:pPr>
        <w:pStyle w:val="Heading1"/>
        <w:keepNext/>
      </w:pPr>
      <w:r>
        <w:t>Tačka 2</w:t>
      </w:r>
    </w:p>
    <w:p>
      <w:pPr>
        <w:keepNext/>
      </w:pPr>
      <w:r>
        <w:rPr>
          <w:i/>
        </w:rPr>
        <w:t>Primedba iz preseka: Podatke po vozilu bi trebalo presložiti jer nije baš najbolje rešenje</w:t>
      </w:r>
    </w:p>
    <w:p>
      <w:pPr>
        <w:keepNext/>
      </w:pPr>
      <w:r>
        <w:t>Ocena: UI i preglednost — realizovano i dopunjeno</w:t>
      </w:r>
    </w:p>
    <w:p>
      <w:pPr>
        <w:keepLines/>
      </w:pPr>
      <w:r>
        <w:t>Odgovor — sadašnja arhitektura: Detalj objedinjuje sedam oblasti: Podaci, Raspolaganje i polise, Troškovi, Korišćenje, Kilometraža, Servisi i Dokumenti. Servisi imaju odvojene grupe Nalozi i Nabavka i kartice poslednjih datiranih dokumenata za mali i veliki servis.</w:t>
      </w:r>
    </w:p>
    <w:p>
      <w:pPr>
        <w:keepLines/>
      </w:pPr>
      <w:r>
        <w:t>Status 10.09.2026: Realizovano — sedmi tab Servisi dopunjuje raniji raspored. Kilometraža ima decimalni zarez i izraz očitavanje.</w:t>
      </w:r>
    </w:p>
    <w:p>
      <w:pPr>
        <w:keepLines/>
      </w:pPr>
      <w:r>
        <w:t>Predlog rešenja: Sprovedeno na postojećem detalju vozila, uz jasno imenovan izvor svakog podatka.</w:t>
      </w:r>
    </w:p>
    <w:p>
      <w:pPr>
        <w:keepLines/>
      </w:pPr>
      <w:r>
        <w:t>Dalja potvrda: Raspored je realizovan; odgovornosti za dopunu stare evidencije ostaju otvorene.</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Ocena:</w:t>
      </w:r>
      <w:r>
        <w:t xml:space="preserve"> UI i navigacija — realizovano prema poslednjoj korekciji</w:t>
      </w:r>
    </w:p>
    <w:p>
      <w:pPr>
        <w:keepLines/>
      </w:pPr>
      <w:r>
        <w:rPr>
          <w:b/>
        </w:rPr>
        <w:t>Odgovor — sadašnja arhitektura:</w:t>
      </w:r>
      <w:r>
        <w:t xml:space="preserve"> Korisnik je naknadno tražio da Pregled i Analitika ostanu u sidebaru. Vraćeni su, pa redosled sada glasi: Pregled, Spisak vozila, Analitika, Saobraćajne dozvole, Putni nalozi, Zaduženja vozila, Garaža IMS, Izveštaji i Ostalo.</w:t>
      </w:r>
    </w:p>
    <w:p>
      <w:pPr>
        <w:keepLines/>
      </w:pPr>
      <w:r>
        <w:rPr>
          <w:b/>
        </w:rPr>
        <w:t>Status 10.09.2026:</w:t>
      </w:r>
      <w:r>
        <w:t xml:space="preserve"> Realizovano — Pregled vodi na postojeću kontrolnu tablu, a Analitika na postojeći analitički ekran.</w:t>
      </w:r>
    </w:p>
    <w:p>
      <w:pPr>
        <w:keepLines/>
      </w:pPr>
      <w:r>
        <w:rPr>
          <w:b/>
        </w:rPr>
        <w:t>Predlog rešenja:</w:t>
      </w:r>
      <w:r>
        <w:t xml:space="preserve"> Sprovedeno. Vraćanje linka na Analitiku nije potvrda njene stare finansijske metodologije; ranije otvorena pitanja obračuna ostaju.</w:t>
      </w:r>
    </w:p>
    <w:p>
      <w:pPr>
        <w:keepLines/>
      </w:pPr>
      <w:r>
        <w:rPr>
          <w:b/>
        </w:rPr>
        <w:t>Dalja potvrda:</w:t>
      </w:r>
      <w:r>
        <w:t xml:space="preserve"> Nema otvorene odluke o ovim stavkama menija.</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Ocena:</w:t>
      </w:r>
      <w:r>
        <w:t xml:space="preserve"> Premeštanje realizovano; novi postupak ažuriranja lizinga otvoren</w:t>
      </w:r>
    </w:p>
    <w:p>
      <w:pPr>
        <w:keepLines/>
      </w:pPr>
      <w:r>
        <w:rPr>
          <w:b/>
        </w:rPr>
        <w:t>Odgovor — sadašnja arhitektura:</w:t>
      </w:r>
      <w:r>
        <w:t xml:space="preserve"> Prva grupa u Izveštajima sadrži Potrošnju, Polise, Popravke van IMS, Popravke u IMS i Lizing i najam. Postojeći finansijski, garažni i upravljački izveštaji ostaju ispod njih. Premešteni su ulazi u postojeće evidencije; unos i izmena i dalje koriste postojeće funkcije i prava.</w:t>
      </w:r>
    </w:p>
    <w:p>
      <w:pPr>
        <w:keepLines/>
      </w:pPr>
      <w:r>
        <w:rPr>
          <w:b/>
        </w:rPr>
        <w:t>Status 10.09.2026:</w:t>
      </w:r>
      <w:r>
        <w:t xml:space="preserve"> Delimično — svih pet pregleda premešteno je u Izveštaje. Novi postupak ažuriranja lizinga/najma nije implementiran jer nije definisan.</w:t>
      </w:r>
    </w:p>
    <w:p>
      <w:pPr>
        <w:keepLines/>
      </w:pPr>
      <w:r>
        <w:rPr>
          <w:b/>
        </w:rPr>
        <w:t>Predlog rešenja:</w:t>
      </w:r>
      <w:r>
        <w:t xml:space="preserve"> Za novi postupak zadržati istoriju ugovora, promena uslova i perioda. Mesto unosa i odgovornosti usaglasiti pre izmene procesa.</w:t>
      </w:r>
    </w:p>
    <w:p>
      <w:pPr>
        <w:keepLines/>
      </w:pPr>
      <w:r>
        <w:rPr>
          <w:b/>
        </w:rPr>
        <w:t>Pitanje za odluku / dopunu:</w:t>
      </w:r>
      <w:r>
        <w:t xml:space="preserve"> Ko unosi novi ugovor, promenu uslova i produženje lizinga/najma, a ko ih proverava? Preporuka: unos uz vozilo/ugovor i odvojeni zbirni pregled, bez prepisivanja ranijih uslova.</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Ocena:</w:t>
      </w:r>
      <w:r>
        <w:t xml:space="preserve"> Namenski izveštaj — realizovano prema naknadnoj korekciji korisnika</w:t>
      </w:r>
    </w:p>
    <w:p>
      <w:pPr>
        <w:keepLines/>
      </w:pPr>
      <w:r>
        <w:rPr>
          <w:b/>
        </w:rPr>
        <w:t>Odgovor — sadašnja arhitektura:</w:t>
      </w:r>
      <w:r>
        <w:t xml:space="preserve"> Korisnik je naknadno odredio da se prikazuju samo vozila starija od 7 godina. Uslov visoke vrednosti i raniji predlog do 7 godina više se ne primenjuju. Kasko pregled koristi razliku godine preseka i godine proizvodnje &gt; 7, bez uslova vlasništva; nepoznata godišta se ne proglašavaju podobnim.</w:t>
      </w:r>
    </w:p>
    <w:p>
      <w:pPr>
        <w:keepLines/>
      </w:pPr>
      <w:r>
        <w:rPr>
          <w:b/>
        </w:rPr>
        <w:t>Status 10.09.2026:</w:t>
      </w:r>
      <w:r>
        <w:t xml:space="preserve"> Realizovano — filteri datuma, centra i kategorije, prateći podaci i Excel izvoz. Starost tačno 7 godina nije uključena.</w:t>
      </w:r>
    </w:p>
    <w:p>
      <w:pPr>
        <w:keepLines/>
      </w:pPr>
      <w:r>
        <w:rPr>
          <w:b/>
        </w:rPr>
        <w:t>Predlog rešenja:</w:t>
      </w:r>
      <w:r>
        <w:t xml:space="preserve"> Sprovedeno iz postojećih tabela, bez migracije. Početni fond su trenutno neotpisana vozila; istorijski status otpisa se ne rekonstruiše.</w:t>
      </w:r>
    </w:p>
    <w:p>
      <w:pPr>
        <w:keepLines/>
      </w:pPr>
      <w:r>
        <w:rPr>
          <w:b/>
        </w:rPr>
        <w:t>Dalja potvrda:</w:t>
      </w:r>
      <w:r>
        <w:t xml:space="preserve"> Kriterijum starosti je potvrđen; nema otvorenog pitanja o pragu vrednosti.</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Ocena:</w:t>
      </w:r>
      <w:r>
        <w:t xml:space="preserve"> Izveštaj vlasničkih vozila — realizovano uz označen izvor osnova</w:t>
      </w:r>
    </w:p>
    <w:p>
      <w:pPr>
        <w:keepLines/>
      </w:pPr>
      <w:r>
        <w:rPr>
          <w:b/>
        </w:rPr>
        <w:t>Odgovor — sadašnja arhitektura:</w:t>
      </w:r>
      <w:r>
        <w:t xml:space="preserve"> Novi pregled koristi tekući VehicleHolding, zatim važeći Lease; kada oba nedostaju, prikazuje podrazumevano vlasništvo IMS po dogovorenom pravilu. Ugovorna vozila su isključena. Uz red se vidi da li je vlasništvo evidentirano ili podrazumevano; dostupan je i izbor samo evidentiranih osnova.</w:t>
      </w:r>
    </w:p>
    <w:p>
      <w:pPr>
        <w:keepLines/>
      </w:pPr>
      <w:r>
        <w:rPr>
          <w:b/>
        </w:rPr>
        <w:t>Status 10.09.2026:</w:t>
      </w:r>
      <w:r>
        <w:t xml:space="preserve"> Realizovano — datum preseka, centar, kategorija, filter osnova, identitet, tehnički podaci, dokument i Excel. Pregled obuhvata trenutno neotpisana vozila u korisničkom obuhvatu.</w:t>
      </w:r>
    </w:p>
    <w:p>
      <w:pPr>
        <w:keepLines/>
      </w:pPr>
      <w:r>
        <w:rPr>
          <w:b/>
        </w:rPr>
        <w:t>Predlog rešenja:</w:t>
      </w:r>
      <w:r>
        <w:t xml:space="preserve"> Operativni pregled je spreman; pre zvanične predaje proveriti nepotpune podatke i poreklo osnova.</w:t>
      </w:r>
    </w:p>
    <w:p>
      <w:pPr>
        <w:keepLines/>
      </w:pPr>
      <w:r>
        <w:rPr>
          <w:b/>
        </w:rPr>
        <w:t>Pitanje za odluku / dopunu:</w:t>
      </w:r>
      <w:r>
        <w:t xml:space="preserve"> Da li je za predaju osiguranju potrebna prethodna potvrda svih podrazumevanih vlasničkih zapisa? Ova poslovna potvrda nije zamenjena samim izvozom.</w:t>
      </w:r>
    </w:p>
    <w:p>
      <w:pPr>
        <w:pStyle w:val="Heading1"/>
        <w:keepNext/>
      </w:pPr>
      <w:r>
        <w:t>Tačka 24</w:t>
      </w:r>
    </w:p>
    <w:p>
      <w:pPr>
        <w:keepNext/>
      </w:pPr>
      <w:r>
        <w:rPr>
          <w:i/>
        </w:rPr>
        <w:t>Primedba iz preseka: Pregled svih kupljenih delova od AutoDekija.</w:t>
      </w:r>
    </w:p>
    <w:p>
      <w:pPr>
        <w:keepNext/>
      </w:pPr>
      <w:r>
        <w:rPr>
          <w:b/>
        </w:rPr>
        <w:t>Ocena:</w:t>
      </w:r>
      <w:r>
        <w:t xml:space="preserve"> Pregled stavki pripremljen; identitet AutoDekija još nije potvrđen</w:t>
      </w:r>
    </w:p>
    <w:p>
      <w:pPr>
        <w:keepLines/>
      </w:pPr>
      <w:r>
        <w:rPr>
          <w:b/>
        </w:rPr>
        <w:t>Odgovor — sadašnja arhitektura:</w:t>
      </w:r>
      <w:r>
        <w:t xml:space="preserve"> Izveštaj koristi postojeće stavke ulaznih faktura i, kao zaseban izbor, robne stavke iz Nabavke. Filtrira dobavljača po PIB-u/šifri, period i naziv artikla; prikazuje dokument, količinu, cenu, izvornu vrednost i datum osvežavanja. Zaglavlja faktura se ne sabiraju ponovo po svakoj stavci.</w:t>
      </w:r>
    </w:p>
    <w:p>
      <w:pPr>
        <w:keepLines/>
      </w:pPr>
      <w:r>
        <w:rPr>
          <w:b/>
        </w:rPr>
        <w:t>Status 10.09.2026:</w:t>
      </w:r>
      <w:r>
        <w:t xml:space="preserve"> Delimično — pregled i Excel izvoz su izrađeni. U trenutno uvezenim izvorima nije pronađen dobavljač pod nazivom AutoDeki; nije potvrđen spisak njegovih kupovina.</w:t>
      </w:r>
    </w:p>
    <w:p>
      <w:pPr>
        <w:keepLines/>
      </w:pPr>
      <w:r>
        <w:rPr>
          <w:b/>
        </w:rPr>
        <w:t>Predlog rešenja:</w:t>
      </w:r>
      <w:r>
        <w:t xml:space="preserve"> Potvrditi odgovarajući identifikator iz Nabavke. Fakture i robni promet prikazuju se odvojeno; kupovina ne potvrđuje ugradnju, a robna evidencija uključuje izvornu vrstu dokumenta.</w:t>
      </w:r>
    </w:p>
    <w:p>
      <w:pPr>
        <w:keepLines/>
      </w:pPr>
      <w:r>
        <w:rPr>
          <w:b/>
        </w:rPr>
        <w:t>Pitanje za odluku / dopunu:</w:t>
      </w:r>
      <w:r>
        <w:t xml:space="preserve"> Koji je tačan poslovni naziv ili PIB/šifra AutoDekija? Upit korisniku je postavljen; nije izabran drugi dobavljač na osnovu pretpostavke.</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Ocena:</w:t>
      </w:r>
      <w:r>
        <w:t xml:space="preserve"> Tehnička kontrola završena; obuhvati različitih izvora razdvojeni</w:t>
      </w:r>
    </w:p>
    <w:p>
      <w:pPr>
        <w:keepLines/>
      </w:pPr>
      <w:r>
        <w:rPr>
          <w:b/>
        </w:rPr>
        <w:t>Odgovor — sadašnja arhitektura:</w:t>
      </w:r>
      <w:r>
        <w:t xml:space="preserve"> Novi detaljni pregled koristi NIS/OMV transakcije i istorijski raspored na datum točenja. Filteri obuhvataju period, dobavljača, vrstu/naziv proizvoda, centar i šifru posla; moguće je grupisanje ili pregled transakcija i Excel izvoz. Svaka transakcija se broji jednom, a proizvodi i valute ostaju odvojeni.</w:t>
      </w:r>
    </w:p>
    <w:p>
      <w:pPr>
        <w:keepLines/>
      </w:pPr>
      <w:r>
        <w:rPr>
          <w:b/>
        </w:rPr>
        <w:t>Status 10.09.2026:</w:t>
      </w:r>
      <w:r>
        <w:t xml:space="preserve"> Provereno — direktni SQL zbirovi i svih šest grupisanja daju iste brojeve i iznose za obuhvat novog pregleda. Stari SQL pregledi imaju drugačiji obuhvat i OMV dupliranje; detalji provere su u dopuni i JSON zapisniku.</w:t>
      </w:r>
    </w:p>
    <w:p>
      <w:pPr>
        <w:keepLines/>
      </w:pPr>
      <w:r>
        <w:rPr>
          <w:b/>
        </w:rPr>
        <w:t>Predlog rešenja:</w:t>
      </w:r>
      <w:r>
        <w:t xml:space="preserve"> NIS/OMV točenja koristiti za operativnu analizu. Knjiženo gorivo, uključujući magacin i zaposlene, ostaje zaseban računovodstveni pregled jer nema istu detaljnost po proizvodima i vozilima.</w:t>
      </w:r>
    </w:p>
    <w:p>
      <w:pPr>
        <w:keepLines/>
      </w:pPr>
      <w:r>
        <w:rPr>
          <w:b/>
        </w:rPr>
        <w:t>Pitanje za odluku / dopunu:</w:t>
      </w:r>
      <w:r>
        <w:t xml:space="preserve"> Finansije treba da potvrde vremenske razlike i merodavne iznose za knjiženje. Provera transakcija nije automatsko usaglašavanje svih knjiženja.</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Ocena:</w:t>
      </w:r>
      <w:r>
        <w:t xml:space="preserve"> Format, obrada i izvoz brojeva — realizovano</w:t>
      </w:r>
    </w:p>
    <w:p>
      <w:pPr>
        <w:keepLines/>
      </w:pPr>
      <w:r>
        <w:rPr>
          <w:b/>
        </w:rPr>
        <w:t>Odgovor — sadašnja arhitektura:</w:t>
      </w:r>
      <w:r>
        <w:t xml:space="preserve"> Duguje se prenosi kao numerička vrednost sa decimalnom tačkom, a prikazuje u srpskom formatu sa dve decimale, npr. 1.234,56. Sortiranje, filter opsega i Excel/CSV izvoz koriste numeričku vrednost, bez uklanjanja decimalne tačke kao da je separator hiljada.</w:t>
      </w:r>
    </w:p>
    <w:p>
      <w:pPr>
        <w:keepLines/>
      </w:pPr>
      <w:r>
        <w:rPr>
          <w:b/>
        </w:rPr>
        <w:t>Status 10.09.2026:</w:t>
      </w:r>
      <w:r>
        <w:t xml:space="preserve"> Realizovano — provereni pozitivni iznosi, nula, negativna stavka, izvoz i granica 1000.00. Ispravljena je i greška poziva kontejnera tabele u dugmetu Reset filtera.</w:t>
      </w:r>
    </w:p>
    <w:p>
      <w:pPr>
        <w:keepLines/>
      </w:pPr>
      <w:r>
        <w:rPr>
          <w:b/>
        </w:rPr>
        <w:t>Predlog rešenja:</w:t>
      </w:r>
      <w:r>
        <w:t xml:space="preserve"> Sprovedeno u postojećem izveštaju; nisu menjani izvorni finansijski podaci.</w:t>
      </w:r>
    </w:p>
    <w:p>
      <w:pPr>
        <w:keepLines/>
      </w:pPr>
      <w:r>
        <w:rPr>
          <w:b/>
        </w:rPr>
        <w:t>Dalja potvrda:</w:t>
      </w:r>
      <w:r>
        <w:t xml:space="preserve"> Nema dodatne poslovne odluke za ovu ispravku.</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t>Ocena: Kilometraža i stvarni približno mesečni intervali — realizovano i ispravljeno</w:t>
      </w:r>
    </w:p>
    <w:p>
      <w:pPr>
        <w:keepLines/>
      </w:pPr>
      <w:r>
        <w:t>Odgovor — sadašnja arhitektura: Koriste se NIS/OMV očitavanja, ranija evidencija goriva za datume bez direktnog izvora i početno/završno stanje naloga vozila sa pripadajućim datumima. OMV corrected_mileage je uvezeni podatak iz kolone Corrected mileage; aplikacija ne zna ko ga je i zašto korigovao. Izvorno stanje se prikazuje kada se razlikuje.</w:t>
      </w:r>
    </w:p>
    <w:p>
      <w:pPr>
        <w:keepLines/>
      </w:pPr>
      <w:r>
        <w:t>Status 10.09.2026: Format je potvrđen: 186.900,00 → 188.682,00 = 1.782,00 km. Decimalni prikaz je odvojen od brojčane vrednosti za sortiranje i računanje. Termin u tabu je očitavanje.</w:t>
      </w:r>
    </w:p>
    <w:p>
      <w:pPr>
        <w:keepLines/>
      </w:pPr>
      <w:r>
        <w:t>Predlog rešenja: Sprovedeno. Stvarni datumi, približno 30 dana, bez interpolacije i preklapanja distance. Opadanja unutar intervala blokiraju nepouzdan obračun.</w:t>
      </w:r>
    </w:p>
    <w:p>
      <w:pPr>
        <w:keepLines/>
      </w:pPr>
      <w:r>
        <w:t>Pitanje za odluku / dopunu: Za kalendarski mesečni pregled cele flote i dalje su potrebna granična očitavanja ili potvrđen kontinuirani izvor; postojeći tab ne izmišlja nedostajuće datume.</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meni, uklanjanja, novi raspored listi, izveštaji osiguranja i decimalni prikaz su realizovani. Pregled delova je pripremljen uz otvorenu identifikaciju AutoDekija. Ostaju novi postupak ažuriranja lizinga/najma, praćenje vozila i rangiranje dobavljača.</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p>
      <w:pPr>
        <w:pStyle w:val="Heading1"/>
      </w:pPr>
      <w:r>
        <w:t>Raspored menija i Izveštaja — 10.09.2026.</w:t>
      </w:r>
    </w:p>
    <w:p>
      <w:r>
        <w:t>Levi meni sveden je na traženih sedam stavki. Pet pregleda premešteno je u prvu grupu Vozni park na stranici Izveštaji; uklonjena je duplirana prečica Izveštaji sa servera iz Ostalo. Kontrolna tabla i Analitika nisu više u levom meniju, a njihovi ekrani i adrese ostaju u aplikaciji.</w:t>
      </w:r>
    </w:p>
    <w:p>
      <w:r>
        <w:t>Postojeće funkcije unosa/izmene i prava nisu menjani; nema nove tabele ni migracije. Novi način ažuriranja lizinga/najma ostaje zasebna otvorena odluka. Provere: 5/5 postojećih testova izveštaja prolazi; renderovanjem potvrđeno sedam veza u traženom redosledu, pet premeštenih pregleda na početku i ispravnost odredišnih URL adresa.</w:t>
      </w:r>
    </w:p>
    <w:p>
      <w:pPr>
        <w:pStyle w:val="Heading1"/>
      </w:pPr>
      <w:r>
        <w:t>Novi Izveštaji, osiguranje, delovi i provera goriva — 10.09.2026.</w:t>
      </w:r>
    </w:p>
    <w:p>
      <w:r>
        <w:t>Ekran Izveštaji sada ima pretražive liste sa pojedinačnim ikonama. Redosled u dve kolone: Vozni park / Finansije; Osiguranje / Garaža; Uprava / Nabavka i delovi. Ovo uključuje poslednju korekciju rasporeda korisnika.</w:t>
      </w:r>
    </w:p>
    <w:p>
      <w:r>
        <w:t>Osiguranje: po izričitoj naknadnoj korekciji uveden je kasko izbor vozila starijih od 7 godina, bez kriterijuma visoke vrednosti. U postojećoj bazi na dan provere: 88 kandidata po godištu. Pregled vlasništva IMS daje 148 trenutno neotpisanih vozila prema operativnom pravilu, sva sa podrazumevanim osnovom u tom preseku. To nije naknadno upisano vlasništvo niti dokaz za zvaničnu predaju osiguranju.</w:t>
      </w:r>
    </w:p>
    <w:p>
      <w:r>
        <w:t>Gorivo: period provere 01.01–10.09.2026. NIS ima 2.607 transakcija i 17.630.290,80 bruto; OMV ima 1.629 transakcija svih proizvoda i 13.766.901,87 bruto. Samo gorivo OMV, bez AdBlue i ostalih kupovina: 1.562 transakcije i 13.662.120,97. U proveravanom skupu valuta je RSD. Brojevi i iznosi novog prikaza jednaki su nezavisnim direktnim SQL zbirovima; sve grupe se usaglašavaju sa istim skupom transakcija.</w:t>
      </w:r>
    </w:p>
    <w:p>
      <w:r>
        <w:t>Postojeći fleet_nis_sifpos daje 2.335 redova i 15.718.380,38 jer ograničava kategoriju na putnička vozila i koristi uslove na tekućoj istoriji dodele. fleet_omv_sifpos koristi Date_to umesto transaction_date i daje 1.704 reda / 14.395.787,82. U tom OMV obuhvatu postoji 1.630 različitih transakcija, odnosno 74 dodatna reda iz spajanja sa JobCode. Novi Django pregled bira jednu istorijsku dodelu i ne umnožava transakcije.</w:t>
      </w:r>
    </w:p>
    <w:p>
      <w:r>
        <w:t>Računovodstveni fleet_tro_goriva_m obuhvata konto 51300 i kategorije NIS/OMV, Magacin i Zaposleni. Njegov obuhvat nije izjednačen sa kartičnim točenjima. U proverenoj 2026. postoje 25 zbirnih redova po mesecu/kategoriji. SQL pregledi nisu menjani, FuelConsumption nije masovno popunjavan, a finansijsko usaglašavanje ostaje sa nadležnim korisnicima. Zapis: izvestaji/provera_izvestaja_gorivo_20260910.json.</w:t>
      </w:r>
    </w:p>
    <w:p>
      <w:r>
        <w:t>Delovi: izveštaj čita postojeće EufItemSnapshot ili GoodsSnapshot iz Nabavke, bez sabiranja oba izvora i bez ponavljanja ukupne vrednosti fakture po svakoj stavci. Pod nazivom AutoDeki nema potvrđenog dobavljača u uvezenim podacima. Korisniku je postavljeno pitanje o poslovnom nazivu/PIB-u/šifri. Do odgovora radi izbor dobavljača, ali ne tvrdi se da je pregled AutoDekija usaglašen.</w:t>
      </w:r>
    </w:p>
    <w:p>
      <w:r>
        <w:t>Ukupni troškovi: numerički prenos, srpski prikaz sa dve decimale, sortiranje, filter granica i Excel/CSV izvoz. Ispravljen je i postojeći pogrešan poziv dt.container u resetovanju filtera. Nedostajući iznos ostaje različit od nule.</w:t>
      </w:r>
    </w:p>
    <w:p>
      <w:r>
        <w:t>Novi izveštaji imaju provere prava prema postojećem pristupu vozilima, gorivu i Nabavci; gde postoji korisnički obuhvat centara primenjuje se na vozila i transakcije. Nepotpuni podaci i nedostajuće dodele su označeni. Nisu uvedene nove tabele ni migracije.</w:t>
      </w:r>
    </w:p>
    <w:p>
      <w:r>
        <w:t>Provere: 60/60 ciljanih testova prolazi. Chrome na izolovanoj bazi potvrđuje raspored, ikone, pretragu izveštaja, sva četiri nova pregleda, prikaz iznosa, numerički izvoz i filter troška. Novi ekrani renderovani su i čitanjem stvarne SQL Server baze (HTTP 200). Slike ispod su demonstracione, nisu produkcioni iznosi.</w:t>
      </w:r>
    </w:p>
    <w:p>
      <w:pPr>
        <w:pStyle w:val="Heading2"/>
      </w:pPr>
      <w:r>
        <w:t>Izveštaji — liste sa ikonama i raspored kartica</w:t>
      </w:r>
    </w:p>
    <w:p>
      <w:r>
        <w:t>Demonstracioni podaci iz izolovane test baze.</w:t>
      </w:r>
    </w:p>
    <w:p>
      <w:r>
        <w:drawing>
          <wp:inline xmlns:a="http://schemas.openxmlformats.org/drawingml/2006/main" xmlns:pic="http://schemas.openxmlformats.org/drawingml/2006/picture">
            <wp:extent cx="5940000" cy="3559494"/>
            <wp:docPr id="11" name="Picture 11"/>
            <wp:cNvGraphicFramePr>
              <a:graphicFrameLocks noChangeAspect="1"/>
            </wp:cNvGraphicFramePr>
            <a:graphic>
              <a:graphicData uri="http://schemas.openxmlformats.org/drawingml/2006/picture">
                <pic:pic>
                  <pic:nvPicPr>
                    <pic:cNvPr id="0" name="izvestaji_pregled.png"/>
                    <pic:cNvPicPr/>
                  </pic:nvPicPr>
                  <pic:blipFill>
                    <a:blip r:embed="rId21"/>
                    <a:stretch>
                      <a:fillRect/>
                    </a:stretch>
                  </pic:blipFill>
                  <pic:spPr>
                    <a:xfrm>
                      <a:off x="0" y="0"/>
                      <a:ext cx="5940000" cy="3559494"/>
                    </a:xfrm>
                    <a:prstGeom prst="rect"/>
                  </pic:spPr>
                </pic:pic>
              </a:graphicData>
            </a:graphic>
          </wp:inline>
        </w:drawing>
      </w:r>
    </w:p>
    <w:p>
      <w:pPr>
        <w:pStyle w:val="Heading2"/>
      </w:pPr>
      <w:r>
        <w:t>NIS/OMV — filteri, pokazatelji i pregled</w:t>
      </w:r>
    </w:p>
    <w:p>
      <w:r>
        <w:t>Demonstracioni podaci iz izolovane test baze.</w:t>
      </w:r>
    </w:p>
    <w:p>
      <w:r>
        <w:drawing>
          <wp:inline xmlns:a="http://schemas.openxmlformats.org/drawingml/2006/main" xmlns:pic="http://schemas.openxmlformats.org/drawingml/2006/picture">
            <wp:extent cx="5940000" cy="3559494"/>
            <wp:docPr id="12" name="Picture 12"/>
            <wp:cNvGraphicFramePr>
              <a:graphicFrameLocks noChangeAspect="1"/>
            </wp:cNvGraphicFramePr>
            <a:graphic>
              <a:graphicData uri="http://schemas.openxmlformats.org/drawingml/2006/picture">
                <pic:pic>
                  <pic:nvPicPr>
                    <pic:cNvPr id="0" name="izvestaji_gorivo.png"/>
                    <pic:cNvPicPr/>
                  </pic:nvPicPr>
                  <pic:blipFill>
                    <a:blip r:embed="rId22"/>
                    <a:stretch>
                      <a:fillRect/>
                    </a:stretch>
                  </pic:blipFill>
                  <pic:spPr>
                    <a:xfrm>
                      <a:off x="0" y="0"/>
                      <a:ext cx="5940000" cy="3559494"/>
                    </a:xfrm>
                    <a:prstGeom prst="rect"/>
                  </pic:spPr>
                </pic:pic>
              </a:graphicData>
            </a:graphic>
          </wp:inline>
        </w:drawing>
      </w:r>
    </w:p>
    <w:p>
      <w:pPr>
        <w:pStyle w:val="Heading1"/>
      </w:pPr>
      <w:r>
        <w:t>Kilometraža vozila i vraćanje Pregleda/Analitike — 10.09.2026.</w:t>
      </w:r>
    </w:p>
    <w:p>
      <w:r>
        <w:t>Po poslednjem zahtevu vraćeni su Pregled i Analitika u sidebar. Postojeća kontrolna tabla i analitika nisu prepisivane ovom promenom. Raspored kartica Izveštaja ostaje: Osiguranje pored Garaže, Uprava ispod i Nabavka pored Uprave.</w:t>
      </w:r>
    </w:p>
    <w:p>
      <w:r>
        <w:t>Detalj vozila dobio je šesti tab Kilometraža. Poslednje stanje bira se po najnovijem datumu do danas, ne kao najveća vrednost iz cele istorije. Kada je poslednje očitanje niže od prethodnog dana, prikazuje se upozorenje. Poslednji zapis nije tvrdnja o stvarnom stanju brojila ovog trenutka.</w:t>
      </w:r>
    </w:p>
    <w:p>
      <w:r>
        <w:t>Za pređenu kilometražu koriste se postojeći datumi. Granice se biraju približno na 30 dana, bez preklapanja osim zajedničkog krajnjeg/početnog očitanja. Prikazuju se broj dana, početno i završno stanje, razlika i izvori. Višemesečna praznina ostaje jedan stvarni duži interval; ne izmišljaju se međumeseci.</w:t>
      </w:r>
    </w:p>
    <w:p>
      <w:r>
        <w:t>Najveće očitanje istog dana koristi se kao dnevna granica, a sva očitanja ostaju dostupna. Ako bilo koje kasnije dnevno očitanje opada prema prethodnom danu unutar intervala, razlika i ukupan zbir ne prikazuju se kao pouzdani. Potrebna je provera unosa ili zamene brojila. Nule iz goriva i neupotrebljive vrednosti nisu uzete kao stvarni početak; nula na početku naloga jeste dozvoljeno stanje.</w:t>
      </w:r>
    </w:p>
    <w:p>
      <w:r>
        <w:t>Filter kilometraže je odvojen od filtera troškova i zadržava aktivan tab. Poslednje stanje i dalje prikazuje celu evidenciju, dok intervali prate izbor korisnika. Nalozi bez datuma zatvaranja ne daju završno očitanje. Priključivanje podataka ne menja stare unose i ne zahteva novu tabelu ili migraciju.</w:t>
      </w:r>
    </w:p>
    <w:p>
      <w:r>
        <w:t>Nove provere obuhvataju najbliže mesečne datume, retka očitanja, opadanje unutar intervala, više očitanja istog dana, nulto početno stanje, korigovani OMV podatak, raniju evidenciju goriva, filtere i render detalja. Chrome potvrđuje šest tabova, tabele, filtriranje uz očuvanje aktivnog taba i vraćen sidebar. Na jednom postojećem vozilu čitanjem baze pronađeno je 51 očitanje i 26 intervala, od kojih 7 traži proveru; ti problemi nisu sakriveni niti automatski ispravljeni.</w:t>
      </w:r>
    </w:p>
    <w:p>
      <w:pPr>
        <w:pStyle w:val="Heading2"/>
      </w:pPr>
      <w:r>
        <w:t>Kilometraža — demonstracioni prikaz</w:t>
      </w:r>
    </w:p>
    <w:p>
      <w:r>
        <w:t>Izolovana test baza; vrednosti na slici nisu produkciona očitanja.</w:t>
      </w:r>
    </w:p>
    <w:p>
      <w:r>
        <w:drawing>
          <wp:inline xmlns:a="http://schemas.openxmlformats.org/drawingml/2006/main" xmlns:pic="http://schemas.openxmlformats.org/drawingml/2006/picture">
            <wp:extent cx="5940000" cy="3559494"/>
            <wp:docPr id="13" name="Picture 13"/>
            <wp:cNvGraphicFramePr>
              <a:graphicFrameLocks noChangeAspect="1"/>
            </wp:cNvGraphicFramePr>
            <a:graphic>
              <a:graphicData uri="http://schemas.openxmlformats.org/drawingml/2006/picture">
                <pic:pic>
                  <pic:nvPicPr>
                    <pic:cNvPr id="0" name="detalj_vozila_kilometraza.png"/>
                    <pic:cNvPicPr/>
                  </pic:nvPicPr>
                  <pic:blipFill>
                    <a:blip r:embed="rId23"/>
                    <a:stretch>
                      <a:fillRect/>
                    </a:stretch>
                  </pic:blipFill>
                  <pic:spPr>
                    <a:xfrm>
                      <a:off x="0" y="0"/>
                      <a:ext cx="5940000" cy="3559494"/>
                    </a:xfrm>
                    <a:prstGeom prst="rect"/>
                  </pic:spPr>
                </pic:pic>
              </a:graphicData>
            </a:graphic>
          </wp:inline>
        </w:drawing>
      </w:r>
    </w:p>
    <w:p>
      <w:r>
        <w:t>Zavrsna provera 10.09.2026: svih 70 ciljanih testova prolazi (kilometraza, novi izvestaji, postojeci izvestaji, detalj i formiranje vozila, kontrolna tabla). Proveren je i prikaz novih izvestaja i taba Kilometraza u pregledacu.</w:t>
      </w:r>
    </w:p>
    <w:p>
      <w:pPr>
        <w:pStyle w:val="Heading1"/>
      </w:pPr>
      <w:r>
        <w:t>Dopuna: decimalni prikaz kilometraže i praćenje servisa — 10.09.2026.</w:t>
      </w:r>
    </w:p>
    <w:p>
      <w:r>
        <w:t>Korisnik je potvrdio prikaz sa dve decimale i srpskim separatorima: 186.900,00 → 188.682,00 = 1.782,00 km. Promena je u prikazu; brojčana stanja nisu deljena, množena niti prepravljana. Termin je očitavanje.</w:t>
      </w:r>
    </w:p>
    <w:p>
      <w:r>
        <w:t>Korigovano u izvoru označava vrednost preuzetu iz OMV kolone Corrected mileage. Kada je pozitivna, već postojeće pravilo je koristi umesto Mileage. Prikaz objašnjava poreklo i pokazuje izvorno stanje kada se razlikuje; nema tvrdnje da je aplikacija korigovala kilometražu.</w:t>
      </w:r>
    </w:p>
    <w:p>
      <w:r>
        <w:t>Tab Servisi ima dve kategorije: Nalozi (garaža i zahtevi za nabavku/uslugu) i Nabavka (fakture/UF i trebovanja vezani za vozilo). Kartice Mali servis i Veliki servis pokazuju poslednji datirani i razvrstani dokument. Sam zahtev ili prijava bez dokumenta ostaje bez servisnog datuma.</w:t>
      </w:r>
    </w:p>
    <w:p>
      <w:r>
        <w:t>Nalog garaže već ima Kvar.work_type. Nabavka dobija opcioni ProcurementCase.work_type, opcionu vezu ProcurementCase.garage_order i opcioni ProcurementInvoice.work_type. Dodata i primenjena migracija nabavka.0019_vehicle_service_tracking. Nema nove tabele; stare veze, izvorne fakture, kilometraža i kategorije nisu automatski menjane.</w:t>
      </w:r>
    </w:p>
    <w:p>
      <w:r>
        <w:t>Iz detalja naloga garaže otvara se zahtev za nabavku ili uslugu sa unapred popunjenim vozilom, nalogom i tipom. Na formi izbor drugog vozila ograničava izbor naloga na to vozilo. Provera na serveru odbija nalog drugog vozila i suprotan tip servisa. Ponavljanje zahteva prenosi tip, ali ne vezuje novu intervenciju za stari nalog.</w:t>
      </w:r>
    </w:p>
    <w:p>
      <w:r>
        <w:t>Dokumenti se čitaju preko postojećih veza zahteva/stavki/fakture, direktne veze fakture sa vozilom i veze trebovanja sa vozilom/nalogom. Datumi su datum fakture, UF dokumenta ili trebovanja. Datum prijave, zahteva, uvoza i knjiženja ne zamenjuje nedostajući datum dokumenta. Generički robni promet i stari knjiženi servisi ne proglašavaju se trebovanjem/fakturom bez odgovarajuće veze.</w:t>
      </w:r>
    </w:p>
    <w:p>
      <w:r>
        <w:t>Više stavki iste fakture/trebovanja daje jedan dokument u pregledu Nabavke. Isti dokument može biti vidljiv uz zahtev i nalog koji su stvarno povezani. Ako su kategorije ili datumi neusaglašeni, dokument ostaje vidljiv sa oznakom za proveru i ne određuje poslednji mali/veliki servis. Budući dokumenti takođe ne određuju poslednji servis.</w:t>
      </w:r>
    </w:p>
    <w:p>
      <w:r>
        <w:t>Postojeći nazivi Veliki servis u IMS / van IMS prepoznaju se kao veliki servis. Otvoreno pitanje korisniku: da li Redovan servis u IMS / van IMS uvek znači mali servis? Do potvrde se to ne pretpostavlja. Nabavka dela ili faktura sama po sebi ne potvrđuje ugradnju i završetak rada, pa nisu uvedeni proizvoljni naredni servisni rokovi.</w:t>
      </w:r>
    </w:p>
    <w:p>
      <w:r>
        <w:t>Provera u Chrome pregledaču na izolovanoj bazi: potvrđen decimalni prikaz, aktiviranje oba taba, obe tabele servisa, nepovezana faktura, unapred popunjen zahtev i ograničenje naloga prema vozilu. Na postojećoj SQL Server bazi migracija je uspešno primenjena; čitanje detalja vozila vraća HTTP 200. Za provereni automobil vidljivo je 10 postojećih dokumenata, bez automatskog povezivanja ili izmišljanja kategorije.</w:t>
      </w:r>
    </w:p>
    <w:p>
      <w:r>
        <w:t>Validacija: ukupno 83 ciljana testa prolaze kroz ovaj i prethodni završni prolaz; posle poslednje dopune ponovljena su sva 23 testa kilometraže i servisa. Provereni su i izveštaji i postojeći detalj/formiranje vozila. U dodatno pokrenutoj staroj grupi Nabavke ostaje ranije poznat pad testa test_primary_invoice_job_code_cannot_be_added_as_additional, zbog očekivanja o već kreiranoj osnovnoj OJ vezi; obračun i veze OJ nisu menjani ovom doradom.</w:t>
      </w:r>
    </w:p>
    <w:p>
      <w:pPr>
        <w:pStyle w:val="Heading2"/>
      </w:pPr>
      <w:r>
        <w:t>Kilometraža sa decimalnim zarezom</w:t>
      </w:r>
    </w:p>
    <w:p>
      <w:r>
        <w:t>Demonstracioni podaci iz izolovane test baze.</w:t>
      </w:r>
    </w:p>
    <w:p>
      <w:r>
        <w:drawing>
          <wp:inline xmlns:a="http://schemas.openxmlformats.org/drawingml/2006/main" xmlns:pic="http://schemas.openxmlformats.org/drawingml/2006/picture">
            <wp:extent cx="5940000" cy="3745560"/>
            <wp:docPr id="14" name="Picture 14"/>
            <wp:cNvGraphicFramePr>
              <a:graphicFrameLocks noChangeAspect="1"/>
            </wp:cNvGraphicFramePr>
            <a:graphic>
              <a:graphicData uri="http://schemas.openxmlformats.org/drawingml/2006/picture">
                <pic:pic>
                  <pic:nvPicPr>
                    <pic:cNvPr id="0" name="kilometraza_decimalni_prikaz.png"/>
                    <pic:cNvPicPr/>
                  </pic:nvPicPr>
                  <pic:blipFill>
                    <a:blip r:embed="rId24"/>
                    <a:stretch>
                      <a:fillRect/>
                    </a:stretch>
                  </pic:blipFill>
                  <pic:spPr>
                    <a:xfrm>
                      <a:off x="0" y="0"/>
                      <a:ext cx="5940000" cy="3745560"/>
                    </a:xfrm>
                    <a:prstGeom prst="rect"/>
                  </pic:spPr>
                </pic:pic>
              </a:graphicData>
            </a:graphic>
          </wp:inline>
        </w:drawing>
      </w:r>
    </w:p>
    <w:p>
      <w:pPr>
        <w:pStyle w:val="Heading2"/>
      </w:pPr>
      <w:r>
        <w:t>Servisi — Nalozi i Nabavka</w:t>
      </w:r>
    </w:p>
    <w:p>
      <w:r>
        <w:t>Demonstracioni podaci iz izolovane test baze.</w:t>
      </w:r>
    </w:p>
    <w:p>
      <w:r>
        <w:drawing>
          <wp:inline xmlns:a="http://schemas.openxmlformats.org/drawingml/2006/main" xmlns:pic="http://schemas.openxmlformats.org/drawingml/2006/picture">
            <wp:extent cx="5940000" cy="3745560"/>
            <wp:docPr id="15" name="Picture 15"/>
            <wp:cNvGraphicFramePr>
              <a:graphicFrameLocks noChangeAspect="1"/>
            </wp:cNvGraphicFramePr>
            <a:graphic>
              <a:graphicData uri="http://schemas.openxmlformats.org/drawingml/2006/picture">
                <pic:pic>
                  <pic:nvPicPr>
                    <pic:cNvPr id="0" name="vozilo_servisi.png"/>
                    <pic:cNvPicPr/>
                  </pic:nvPicPr>
                  <pic:blipFill>
                    <a:blip r:embed="rId25"/>
                    <a:stretch>
                      <a:fillRect/>
                    </a:stretch>
                  </pic:blipFill>
                  <pic:spPr>
                    <a:xfrm>
                      <a:off x="0" y="0"/>
                      <a:ext cx="5940000" cy="3745560"/>
                    </a:xfrm>
                    <a:prstGeom prst="rect"/>
                  </pic:spPr>
                </pic:pic>
              </a:graphicData>
            </a:graphic>
          </wp:inline>
        </w:drawing>
      </w:r>
    </w:p>
    <w:p>
      <w:r>
        <w:t>Dopuna izgleda formi 10.09.2026: Vrsta intervencije u garaži, zahtevu i fakturi koristi isti padajući izbor kao ostala polja. Usklađen je i Nalog garaže. Pri promeni vozila dostupni su samo njegovi nalozi, a izbor naloga ažurira vidljivi tip intervencije. Provereno u Chrome pregledaču na izolovanoj bazi: ista visina i okvir polja, izbor naloga po vozilu i automatski prikaz tipa. Nema izmene baze.</w:t>
      </w:r>
    </w:p>
    <w:p>
      <w:r>
        <w:t>Dopuna navigacije 10.09.2026: Na detalju zahteva za uslugu/nabavku, kada je povezano vozilo, prikazuje se dugme Detalji vozila u zaglavlju. Naziv vozila u osnovnim podacima takođe vodi na njegov detalj. Bez vozila nema dugmeta; prikazuje se Nije povezano. Proveren je prikaz oba slučaja bez izmene zapisa u bazi.</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