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rPr>
          <w:b/>
        </w:rPr>
        <w:t xml:space="preserve">Ocena: </w:t>
      </w:r>
      <w:r>
        <w:t>UI i preglednost</w:t>
      </w:r>
    </w:p>
    <w:p>
      <w:pPr>
        <w:keepLines/>
      </w:pPr>
      <w:r>
        <w:rPr>
          <w:b/>
        </w:rPr>
        <w:t>Odgovor — sadašnja arhitektura:</w:t>
      </w:r>
      <w:r>
        <w:t xml:space="preserve"> Dosije opravdano okuplja identitet, dokumente, raspolaganje, troškove i korišćenje jednog vozila. Primedba se odnosila na preglednost. Sada je prikaz podeljen na pet tabova sa operativnim stanjem iznad njih; za sam raspored nije bila potrebna nova tabela. Duge evidencije naloga imaju pretragu i sortiranje, a kratke evidencije raspolaganja, OJ, ugovora i polisa mini liste.</w:t>
      </w:r>
    </w:p>
    <w:p>
      <w:pPr>
        <w:keepLines/>
      </w:pPr>
      <w:r>
        <w:rPr>
          <w:b/>
        </w:rPr>
        <w:t>Status 10.09.2026:</w:t>
      </w:r>
      <w:r>
        <w:t xml:space="preserve"> Realizovano — detalj sada ima pet kartica: Podaci, Raspolaganje i polise, Troškovi, Korišćenje i Dokumenti. Operativno stanje je iznad kartica.</w:t>
      </w:r>
    </w:p>
    <w:p>
      <w:pPr>
        <w:keepLines/>
      </w:pPr>
      <w:r>
        <w:rPr>
          <w:b/>
        </w:rPr>
        <w:t>Predlog rešenja:</w:t>
      </w:r>
      <w:r>
        <w:t xml:space="preserve"> Zadržati pet tabova u zajedničkoj kartici, operativno zaglavlje i ujednačene kartice. U Raspolaganju koristiti kratke liste sa otvaranjem dodatnih zapisa; DataTables ostaje za brojne naloge.</w:t>
      </w:r>
    </w:p>
    <w:p>
      <w:pPr>
        <w:keepLines/>
      </w:pPr>
      <w:r>
        <w:rPr>
          <w:b/>
        </w:rPr>
        <w:t>Dalja potvrda:</w:t>
      </w:r>
      <w:r>
        <w:t xml:space="preserve"> Nije potrebna nova odluka o rasporedu; proveriti svakodnevni rad na računaru sa stvarnim vozilima.</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w:t>
      </w:r>
    </w:p>
    <w:p>
      <w:pPr>
        <w:keepLines/>
      </w:pPr>
      <w:r>
        <w:rPr>
          <w:b/>
        </w:rPr>
        <w:t>Odgovor — sadašnja arhitektura:</w:t>
      </w:r>
      <w:r>
        <w:t xml:space="preserve"> Levi meni sada sadrži tačno sedam traženih stavki: Spisak vozila, Saobraćajne dozvole, Putni nalozi, Zaduženja vozila, Garaža IMS, Izveštaji i Ostalo. Kontrolna tabla i Analitika uklonjene su iz ovog menija; njihovi ekrani i adrese nisu obrisani.</w:t>
      </w:r>
    </w:p>
    <w:p>
      <w:pPr>
        <w:keepLines/>
      </w:pPr>
      <w:r>
        <w:rPr>
          <w:b/>
        </w:rPr>
        <w:t>Status 10.09.2026:</w:t>
      </w:r>
      <w:r>
        <w:t xml:space="preserve"> Realizovano — raspored i nazivi levog menija usklađeni su sa zahtevom.</w:t>
      </w:r>
    </w:p>
    <w:p>
      <w:pPr>
        <w:keepLines/>
      </w:pPr>
      <w:r>
        <w:rPr>
          <w:b/>
        </w:rPr>
        <w:t>Predlog rešenja:</w:t>
      </w:r>
      <w:r>
        <w:t xml:space="preserve"> Sprovedeno; Izveštaji su dostupni direktno iz menija, a uklonjena je njihova duplirana prečica iz Ostalo.</w:t>
      </w:r>
    </w:p>
    <w:p>
      <w:pPr>
        <w:keepLines/>
      </w:pPr>
      <w:r>
        <w:rPr>
          <w:b/>
        </w:rPr>
        <w:t>Dalja potvrda:</w:t>
      </w:r>
      <w:r>
        <w:t xml:space="preserve"> Nema otvorene odluke o ovom rasporedu.</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 xml:space="preserve">Ocena: </w:t>
      </w:r>
      <w:r>
        <w:t>Novi namenski izveštaj</w:t>
      </w:r>
    </w:p>
    <w:p>
      <w:pPr>
        <w:keepLines/>
      </w:pPr>
      <w:r>
        <w:rPr>
          <w:b/>
        </w:rPr>
        <w:t>Odgovor — sadašnja arhitektura:</w:t>
      </w:r>
      <w:r>
        <w:t xml:space="preserve"> Podaci o vozilu predstavljaju osnovu za ovaj pregled. Potrebno je definisati datum obračuna starosti, prag i vrstu vrednosti, kao i da li uslovi „do sedam godina“ i „velike vrednosti“ važe zajedno ili odvojeno. Prag treba da bude podesiv. Knjigovodstvena vrednost ne treba prećutno da se koristi kao osigurana vrednost. Ovaj zahtev predstavlja namensku doradu izveštavanja.</w:t>
      </w:r>
    </w:p>
    <w:p>
      <w:pPr>
        <w:keepLines/>
      </w:pPr>
      <w:r>
        <w:rPr>
          <w:b/>
        </w:rPr>
        <w:t>Status 10.09.2026:</w:t>
      </w:r>
      <w:r>
        <w:t xml:space="preserve"> Otvoreno — izveštaj osiguranja po starosti/vrednosti nije kreiran.</w:t>
      </w:r>
    </w:p>
    <w:p>
      <w:pPr>
        <w:keepLines/>
      </w:pPr>
      <w:r>
        <w:rPr>
          <w:b/>
        </w:rPr>
        <w:t>Predlog rešenja:</w:t>
      </w:r>
      <w:r>
        <w:t xml:space="preserve"> Napraviti podesiv namenski izveštaj sa datumom preseka, granicom starosti, vrstom i pragom vrednosti. Nepoznate podatke izdvojiti u dopunu.</w:t>
      </w:r>
    </w:p>
    <w:p>
      <w:pPr>
        <w:keepLines/>
      </w:pPr>
      <w:r>
        <w:rPr>
          <w:b/>
        </w:rPr>
        <w:t>Pitanje za odluku / dopunu:</w:t>
      </w:r>
      <w:r>
        <w:t xml:space="preserve"> Da li važe oba uslova zajedno ili bilo koji: do 7 godina i/ili visoka vrednost? Koji je prag, vrsta vrednosti i datum za starost? Preporuka: finansije/osiguranje potvrđuju kriterijume; ne pretpostavljati knjigovodstvenu kao osiguranu vrednost.</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 xml:space="preserve">Ocena: </w:t>
      </w:r>
      <w:r>
        <w:t>Izveštaj i dosledna evidencija vlasništva</w:t>
      </w:r>
    </w:p>
    <w:p>
      <w:pPr>
        <w:keepLines/>
      </w:pPr>
      <w:r>
        <w:rPr>
          <w:b/>
        </w:rPr>
        <w:t>Odgovor — sadašnja arhitektura:</w:t>
      </w:r>
      <w:r>
        <w:t xml:space="preserve"> Za operativni detalj već je prihvaćeno pravilo: tekući VehicleHolding ima prednost, zatim važeći lizing/najam, a kada oba nedostaju prikazuje se Vlasništvo IMS. To pravilo ostaje. Migracija nije izmišljala datume sticanja za 149 vozila bez ugovornog osnova. Za namenski izvoz osiguranju treba prikazati i izvor osnova raspolaganja i razjasniti da li se uključuju svi operativno označeni vlasnički zapisi ili samo oni sa potvrđenom evidencijom.</w:t>
      </w:r>
    </w:p>
    <w:p>
      <w:pPr>
        <w:keepLines/>
      </w:pPr>
      <w:r>
        <w:rPr>
          <w:b/>
        </w:rPr>
        <w:t>Status 10.09.2026:</w:t>
      </w:r>
      <w:r>
        <w:t xml:space="preserve"> Delimično — postoji eksplicitna evidencija osnova. Migracija za 149 vozila nije upisivala pretpostavljeno vlasništvo. Naknadno, po izričitom pravilu korisnika, detalj bez tekućeg osnova i važećeg lizinga/najma prikazuje Vlasništvo IMS. To je podrazumevani prikaz, ne izmišljena istorija vlasništva. Zbirni izveštaj još nije završen.</w:t>
      </w:r>
    </w:p>
    <w:p>
      <w:pPr>
        <w:keepLines/>
      </w:pPr>
      <w:r>
        <w:rPr>
          <w:b/>
        </w:rPr>
        <w:t>Predlog rešenja:</w:t>
      </w:r>
      <w:r>
        <w:t xml:space="preserve"> Izvoz treba da sadrži identitet, dokument, osnov i izvor raspolaganja na izabrani datum. Kredit ne isključuje vlasništvo; ugovorna vozila ne mešati automatski sa vlasničkim spiskom.</w:t>
      </w:r>
    </w:p>
    <w:p>
      <w:pPr>
        <w:keepLines/>
      </w:pPr>
      <w:r>
        <w:rPr>
          <w:b/>
        </w:rPr>
        <w:t>Pitanje za odluku / dopunu:</w:t>
      </w:r>
      <w:r>
        <w:t xml:space="preserve"> Za predaju osiguranju: uključiti i zapise koji se po prihvaćenom podrazumevanom pravilu prikazuju kao Vlasništvo IMS, uz oznaku izvora, ili prvo potvrditi njihovu osnovnu evidenciju? Preporuka: proveriti osnov pre zvanične predaje. Operativni prikaz se time ne menja.</w:t>
      </w:r>
    </w:p>
    <w:p>
      <w:pPr>
        <w:pStyle w:val="Heading1"/>
        <w:keepNext/>
      </w:pPr>
      <w:r>
        <w:t>Tačka 24</w:t>
      </w:r>
    </w:p>
    <w:p>
      <w:pPr>
        <w:keepNext/>
      </w:pPr>
      <w:r>
        <w:rPr>
          <w:i/>
        </w:rPr>
        <w:t>Primedba iz preseka: Pregled svih kupljenih delova od AutoDekija.</w:t>
      </w:r>
    </w:p>
    <w:p>
      <w:pPr>
        <w:keepNext/>
      </w:pPr>
      <w:r>
        <w:rPr>
          <w:b/>
        </w:rPr>
        <w:t xml:space="preserve">Ocena: </w:t>
      </w:r>
      <w:r>
        <w:t>Novi pregled na nivou stavki</w:t>
      </w:r>
    </w:p>
    <w:p>
      <w:pPr>
        <w:keepLines/>
      </w:pPr>
      <w:r>
        <w:rPr>
          <w:b/>
        </w:rPr>
        <w:t>Odgovor — sadašnja arhitektura:</w:t>
      </w:r>
      <w:r>
        <w:t xml:space="preserve"> Za pregled svih kupljenih delova potrebni su dobavljač, period, artikli, količine i iznosi, uz obradu povrata i odobrenja. Ukupni iznosi faktura nisu dovoljni za specifikaciju delova. Kupovina dela i njegova ugradnja u vozilo predstavljaju različite događaje: za pregled po vozilu potrebna je veza sa izdavanjem iz magacina ili konkretnom intervencijom. Dobavljača treba birati prema stabilnoj šifri, a ne samo tekstu naziva.</w:t>
      </w:r>
    </w:p>
    <w:p>
      <w:pPr>
        <w:keepLines/>
      </w:pPr>
      <w:r>
        <w:rPr>
          <w:b/>
        </w:rPr>
        <w:t>Status 10.09.2026:</w:t>
      </w:r>
      <w:r>
        <w:t xml:space="preserve"> Otvoreno — nije uveden zaseban uvoz/povezivanje delova AutoDeki.</w:t>
      </w:r>
    </w:p>
    <w:p>
      <w:pPr>
        <w:keepLines/>
      </w:pPr>
      <w:r>
        <w:rPr>
          <w:b/>
        </w:rPr>
        <w:t>Predlog rešenja:</w:t>
      </w:r>
      <w:r>
        <w:t xml:space="preserve"> Filtrirati dobavljača stabilnim identifikatorom i periodom, prikazati artikle, količine, cene, povrate i dokument. Posebno povezati ugrađene delove sa vozilom/intervencijom.</w:t>
      </w:r>
    </w:p>
    <w:p>
      <w:pPr>
        <w:keepLines/>
      </w:pPr>
      <w:r>
        <w:rPr>
          <w:b/>
        </w:rPr>
        <w:t>Pitanje za odluku / dopunu:</w:t>
      </w:r>
      <w:r>
        <w:t xml:space="preserve"> Traži li se sve kupljeno od AutoDekija ili i u koje vozilo je ugrađeno? Koji je identifikator dobavljača i gde je potpuna specifikacija stavki? Preporuka: početni pregled kupovine, pa veza sa izdavanjem za pregled po vozilu.</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 xml:space="preserve">Ocena: </w:t>
      </w:r>
      <w:r>
        <w:t>Kontrola usaglašenosti izvora</w:t>
      </w:r>
    </w:p>
    <w:p>
      <w:pPr>
        <w:keepLines/>
      </w:pPr>
      <w:r>
        <w:rPr>
          <w:b/>
        </w:rPr>
        <w:t>Odgovor — sadašnja arhitektura:</w:t>
      </w:r>
      <w:r>
        <w:t xml:space="preserve"> Sadašnji mesečni izveštaj čita računovodstveni SQL pregled, što ima opravdanje za knjižene iznose. Kartične transakcije predstavljaju točenja i mogu imati drugačiji vremenski obuhvat. Razlike treba proveriti prema periodu knjiženja i transakcije, vrsti proizvoda, rabatima, korekcijama i osnovi iznosa. Bez poređenja istog obuhvata nije opravdano unapred zaključiti da je aplikacioni zbir pogrešan. Tačnost produkcionih iznosa nije potvrđena ovom analizom koda.</w:t>
      </w:r>
    </w:p>
    <w:p>
      <w:pPr>
        <w:keepLines/>
      </w:pPr>
      <w:r>
        <w:rPr>
          <w:b/>
        </w:rPr>
        <w:t>Status 10.09.2026:</w:t>
      </w:r>
      <w:r>
        <w:t xml:space="preserve"> Delimično — detalj koristi postojeći zajednički izvor NIS/OMV računa i jasno navodi period i bruto iznos; to nije potvrda usaglašenosti sa finansijama.</w:t>
      </w:r>
    </w:p>
    <w:p>
      <w:pPr>
        <w:keepLines/>
      </w:pPr>
      <w:r>
        <w:rPr>
          <w:b/>
        </w:rPr>
        <w:t>Predlog rešenja:</w:t>
      </w:r>
      <w:r>
        <w:t xml:space="preserve"> Uraditi kontrolu za isti mesec: broj transakcija, količine po proizvodu, iznosi, storna, rabati, nepovezane stavke i vremenske razlike između točenja i knjiženja.</w:t>
      </w:r>
    </w:p>
    <w:p>
      <w:pPr>
        <w:keepLines/>
      </w:pPr>
      <w:r>
        <w:rPr>
          <w:b/>
        </w:rPr>
        <w:t>Pitanje za odluku / dopunu:</w:t>
      </w:r>
      <w:r>
        <w:t xml:space="preserve"> Koji zaključeni mesec i kontrolni zbir finansije daju za usaglašavanje? Preporuka: jedan potpun mesec kao početni kontrolni skup, zatim septembar 2026. u dogovorenom obuhvatu.</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 xml:space="preserve">Ocena: </w:t>
      </w:r>
      <w:r>
        <w:t>Format brojeva i provera njihove obrade</w:t>
      </w:r>
    </w:p>
    <w:p>
      <w:pPr>
        <w:keepLines/>
      </w:pPr>
      <w:r>
        <w:rPr>
          <w:b/>
        </w:rPr>
        <w:t>Odgovor — sadašnja arhitektura:</w:t>
      </w:r>
      <w:r>
        <w:t xml:space="preserve"> Zahtev za dosledan prikaz, npr. 1.234,56, opravdan je. Ipak, potrebno je proveriti i obradu brojeva: postojeći JavaScript uklanja tačke pri pretvaranju teksta u broj. Ako ulaz ima tačku kao decimalni separator, vrednost može biti pogrešno protumačena. Zato provera treba da obuhvati prikaz, sortiranje, filtriranje i izvoz, a ne samo vizuelno dodavanje zareza. To je konkretan rizik za proveru, ne potvrđena greška svakog iznosa.</w:t>
      </w:r>
    </w:p>
    <w:p>
      <w:pPr>
        <w:keepLines/>
      </w:pPr>
      <w:r>
        <w:rPr>
          <w:b/>
        </w:rPr>
        <w:t>Status 10.09.2026:</w:t>
      </w:r>
      <w:r>
        <w:t xml:space="preserve"> Otvoreno — zbirni izveštaj po kontu/centru i njegovo formatiranje nisu menjani. Novi detalj prikazuje iznose na dve decimale za izabrani period.</w:t>
      </w:r>
    </w:p>
    <w:p>
      <w:pPr>
        <w:keepLines/>
      </w:pPr>
      <w:r>
        <w:rPr>
          <w:b/>
        </w:rPr>
        <w:t>Predlog rešenja:</w:t>
      </w:r>
      <w:r>
        <w:t xml:space="preserve"> Brojeve zadržati kao numeričke vrednosti, a srpski format primeniti samo za prikaz. Proveriti iznose, numeričko sortiranje, zbir i Excel izvoz na primerima 1.234,56; 0,00 i -123,45.</w:t>
      </w:r>
    </w:p>
    <w:p>
      <w:pPr>
        <w:keepLines/>
      </w:pPr>
      <w:r>
        <w:rPr>
          <w:b/>
        </w:rPr>
        <w:t>Dalja potvrda:</w:t>
      </w:r>
      <w:r>
        <w:t xml:space="preserve"> Nema nove poslovne odluke; ovo je konkretna ispravka prikaza i obrade koju treba završiti i proveriti.</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rPr>
          <w:b/>
        </w:rPr>
        <w:t xml:space="preserve">Ocena: </w:t>
      </w:r>
      <w:r>
        <w:t>Novi izveštaj i kvalitet kilometraže</w:t>
      </w:r>
    </w:p>
    <w:p>
      <w:pPr>
        <w:keepLines/>
      </w:pPr>
      <w:r>
        <w:rPr>
          <w:b/>
        </w:rPr>
        <w:t>Odgovor — sadašnja arhitektura:</w:t>
      </w:r>
      <w:r>
        <w:t xml:space="preserve"> Postoje kilometraže na zaduženjima i očitanja uz točenja, ali ona sama ne garantuju stanje na granici svakog meseca. Novi detalj prikazuje samo razliku prihvatljivih očitanja i stvarne datume pokrivenosti, bez godišnje ekstrapolacije. Za tačnu mesečnu kilometražu potreban je dogovoren izvor i redovno očitavanje. Kod radnih jedinica treba dodati sate rada ili terenske dane kada se pouzdano beleže; kilometraža i radni sati nisu međusobno zamenljive veličine.</w:t>
      </w:r>
    </w:p>
    <w:p>
      <w:pPr>
        <w:keepLines/>
      </w:pPr>
      <w:r>
        <w:rPr>
          <w:b/>
        </w:rPr>
        <w:t>Status 10.09.2026:</w:t>
      </w:r>
      <w:r>
        <w:t xml:space="preserve"> Delimično — prikazuje se razlika rastućih očitanja sa računa i stvarni datumi pokrivenosti. Mesečna pređena kilometraža i l/100 km nisu proglašeni potvrđenim bez potrebnih očitanja.</w:t>
      </w:r>
    </w:p>
    <w:p>
      <w:pPr>
        <w:keepLines/>
      </w:pPr>
      <w:r>
        <w:rPr>
          <w:b/>
        </w:rPr>
        <w:t>Predlog rešenja:</w:t>
      </w:r>
      <w:r>
        <w:t xml:space="preserve"> Dogovoriti mesečna granična očitanja ili potvrđen kontinuirani izvor; obraditi zamenu/reset brojila i nedostajuće podatke. Za radne jedinice prikazati odgovarajuće sate/dane, odvojeno od km.</w:t>
      </w:r>
    </w:p>
    <w:p>
      <w:pPr>
        <w:keepLines/>
      </w:pPr>
      <w:r>
        <w:rPr>
          <w:b/>
        </w:rPr>
        <w:t>Pitanje za odluku / dopunu:</w:t>
      </w:r>
      <w:r>
        <w:t xml:space="preserve"> Koji izvor potvrđuje mesečnu kilometražu i ko unosi stanje na granici meseca? Za garniture: postoje li radni sati i čiji brojač mere — motor vozila ili rad garniture? Preporuka: bez dovoljnog izvora prikazati pokrivenost, ne procenu kao tačan podatak.</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raspored menija, premeštanje pet pregleda i uklanjanja iz tačaka 18 i 25 su završeni. Ostaju novi postupak ažuriranja lizinga/najma (15), format brojeva i namenski pregledi osiguranja, delova, praćenja i dobavljača (22–24, 26, 28, 29).</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