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p>
      <w:pPr>
        <w:pStyle w:val="Heading1"/>
      </w:pPr>
      <w:r>
        <w:t>Analiza aplikacije i predlog procedura — 10.09.2026.</w:t>
      </w:r>
    </w:p>
    <w:p>
      <w:r>
        <w:t>Izrađen je novi detaljan Word „Analiza aplikacije i procedure rada - IMS flota.docx“. Postojeće primedbe i dokazi u ovom preseku su sačuvani. Novi dokument razdvaja provereno stanje, dogovorene smernice i predloge koji tek treba da se implementiraju.</w:t>
      </w:r>
    </w:p>
    <w:p>
      <w:r>
        <w:t>Potvrđeno sa korisnikom: sekretarice vode putne naloge; periodično zaduženje nije isto što i vozač na svakom putovanju. Garaža/Veljović formira nalog i potvrđuje stvarno završene radove, a uprava odobrava intervenciju. Zadržati mogućnost naknadnog povezivanja nabavke i vozila. Dodati plan velikog servisa i računanje dospeća; za ponavljanja traženo je upozorenje, bez automatske zabrane.</w:t>
      </w:r>
    </w:p>
    <w:p>
      <w:r>
        <w:t>Proverena osnova: 172 vozila, od kojih 164 aktivna; 217 zaduženja vozila; 3.522 putna naloga; jedan nalog garaže; 224 zahteva Nabavke. Brojevi predstavljaju zatečenu evidenciju, a ne fizički popis ili potvrdu izvršenja. U bazi postoji veza zahteva sa nalogom garaže, ali tokom provere nijedan zahtev nije koristio tu vezu.</w:t>
      </w:r>
    </w:p>
    <w:p>
      <w:r>
        <w:t>Prioriteti: odobravanje i istorija promena naloga; odvojena potvrda izvršenja sa datumom i kilometražom; uklanjanje automatskog stvaranja generičkih delova prilikom pregleda iz evidencije stvarnog utroška; precizna prava po ulogama; povezivanje dokumenata bez dvostrukog troška; pouzdana osnova za servisne rokove. Trošak interne garaže traži i podatke o radu i zajedničkim rashodima, a ne samo o delovima.</w:t>
      </w:r>
    </w:p>
    <w:p>
      <w:r>
        <w:t>Otvoreno: značenje starih kategorija „Redovan servis“, intervali po vozilu, finansijska metodologija i odgovorna lica, sati rada garaže, hitne intervencije i zamena odobravaoca, pragovi upozorenja i tačan identitet AutoDekija. Ova pitanja su objašnjena u novoj analizi; ne sprečavaju razradu osnovnog toka.</w:t>
      </w:r>
    </w:p>
    <w:p>
      <w:r>
        <w:t>Status: završena analiza i predlog procedura, modela, migracija i redosleda razvoja. U ovom koraku nisu menjani aplikacioni tokovi, dozvole ili poslovni zapisi. Ranije izvedene dorade ostaju opisane u prethodnim dopunama.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p>
      <w:pPr>
        <w:pStyle w:val="Heading1"/>
      </w:pPr>
      <w:r>
        <w:t>Kadrovi — RFZO bolovanja i provera godišnjih odmora, 11.09.2026.</w:t>
      </w:r>
    </w:p>
    <w:p>
      <w:r>
        <w:t>Rešeno: HR modeli bolovanja i istorije uvoza, lista i RFZO Excel uvoz sa povezivanjem po JMBG-u. Primenjene migracije 0004/0005. Uvezen dostavljeni primer: 23 bolovanja, sva povezana, ponovna provera bez duplikata. U radnoj listi se po datumima automatski prikazuje „Bolovanje“ u napomeni uz prolaske, zajedno sa putnim nalozima; sati se ne menjaju. Uvedene su posebne dozvole pregleda/uvoza za Upravu i mogućnost dodele ovlašćenim korisnicima.</w:t>
      </w:r>
    </w:p>
    <w:p>
      <w:r>
        <w:t>Provereno: Godmor ima dodelu dana, GodmorKor rešenja, sa rasif vezom ka zaposlenom. Za 2026. ima 328 dodela i 293 rešenja. Stvarno korišćenje ostaje iz radne liste. Otvoreno: koja tabela/šifra u postojećoj evidenciji označava korišćenje godišnjeg odmora, ili da li se taj podatak vodi u novoj radnoj listi. Godišnji odmori nisu automatski obračunati iz rešenja. Detalji su u „Kadrovi - bolovanja i godisnji odmori.docx“.</w:t>
      </w:r>
    </w:p>
    <w:p>
      <w:pPr>
        <w:pStyle w:val="Heading1"/>
      </w:pPr>
      <w:r>
        <w:t>Bolovanja — DataTable i detalj zaposlenog, 11.09.2026.</w:t>
      </w:r>
    </w:p>
    <w:p>
      <w:r>
        <w:t>Dodat je DataTable na pregled bolovanja: pretraga, izbor broja redova, straničenje i sortiranje; početni redosled je od najnovijeg početka bolovanja. Datumi su prikazani kao d.m.Y, uz hronološko sortiranje. Uklonjeno je prethodno serversko straničenje, tako da DataTable obrađuje ceo skup izabran postojećim filterima.</w:t>
      </w:r>
    </w:p>
    <w:p>
      <w:r>
        <w:t>Ime povezane osobe vodi na detalj zaposlenog uz odgovarajuću dozvolu; sopstveni profil ostaje dostupan vlasniku naloga. Nepovezano bolovanje nema link ka izmišljenom zaposlenom. Prikaz prazne tabele i ponovna inicijalizacija provereni su bez DataTables upozorenja.</w:t>
      </w:r>
    </w:p>
    <w:p>
      <w:r>
        <w:t>Provera: šest postojećih testova HR prikaza prolazi. U Chromium-u su provereni prikaz 23 bolovanja i 23 linka, datumsko sortiranje, pretraga, prazan rezultat i zaštita od ponovne inicijalizacije. Nisu menjani modeli, migracije ili poslovni podaci.</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